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C72FA6">
        <w:t>0</w:t>
      </w:r>
      <w:r w:rsidR="009B71DC">
        <w:t>4</w:t>
      </w:r>
      <w:r w:rsidRPr="001E24B6">
        <w:t>.</w:t>
      </w:r>
      <w:r w:rsidR="005C7F0B">
        <w:t>30</w:t>
      </w:r>
    </w:p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9B71DC">
        <w:t>balandžio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B71DC" w:rsidRPr="009B71DC" w:rsidRDefault="009B71DC" w:rsidP="009B71DC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Pardavimų makrooperacijose esantis eksportas klientams dirbantiems su ECount programa papildytas naujomis kolonėlėmis: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DOK_SUBPIRKEJO_NR</w:t>
            </w:r>
          </w:p>
          <w:p w:rsidR="00DE2602" w:rsidRPr="009B71DC" w:rsidRDefault="009B71DC" w:rsidP="009B71D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DOK_KOMENTARAI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9B71DC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Importas/Eksportas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Pr="00BA0D33" w:rsidRDefault="009B71DC" w:rsidP="00091E0E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KUI kataloge padarytas mygtukas "Katalogas"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9B71DC" w:rsidP="00612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 Katalogas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B71DC" w:rsidRPr="009B71DC" w:rsidRDefault="009B71DC" w:rsidP="009B71DC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Sandėlio didmeni</w:t>
            </w:r>
            <w:r>
              <w:rPr>
                <w:sz w:val="20"/>
                <w:szCs w:val="20"/>
              </w:rPr>
              <w:t>ni</w:t>
            </w:r>
            <w:r w:rsidRPr="009B71DC">
              <w:rPr>
                <w:sz w:val="20"/>
                <w:szCs w:val="20"/>
              </w:rPr>
              <w:t>ų užduočių spausdinimas papildytas naujomis kolonė</w:t>
            </w:r>
            <w:r>
              <w:rPr>
                <w:sz w:val="20"/>
                <w:szCs w:val="20"/>
              </w:rPr>
              <w:t>l</w:t>
            </w:r>
            <w:r w:rsidRPr="009B71DC">
              <w:rPr>
                <w:sz w:val="20"/>
                <w:szCs w:val="20"/>
              </w:rPr>
              <w:t>ėmis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PREKPAPDATA1,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PREKPAPDATA2,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PREKPAPDATA3,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PREKPAPDATA4,</w:t>
            </w:r>
          </w:p>
          <w:p w:rsidR="009B71DC" w:rsidRPr="009B71DC" w:rsidRDefault="009B71DC" w:rsidP="009B71D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PREKPAPDATA5</w:t>
            </w:r>
          </w:p>
          <w:p w:rsidR="00F41B54" w:rsidRPr="005C7F0B" w:rsidRDefault="009B71DC" w:rsidP="009B71DC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Jas galima naudoti kuria</w:t>
            </w:r>
            <w:r>
              <w:rPr>
                <w:sz w:val="20"/>
                <w:szCs w:val="20"/>
              </w:rPr>
              <w:t>n</w:t>
            </w:r>
            <w:r w:rsidRPr="009B71DC">
              <w:rPr>
                <w:sz w:val="20"/>
                <w:szCs w:val="20"/>
              </w:rPr>
              <w:t>t vartotojo ataskaitas nuo standartinio spausdinimo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9B71DC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Sandėlio sistema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Pr="00F41B54" w:rsidRDefault="009B71DC" w:rsidP="009B71DC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Subpirkėj</w:t>
            </w:r>
            <w:r>
              <w:rPr>
                <w:sz w:val="20"/>
                <w:szCs w:val="20"/>
              </w:rPr>
              <w:t>ų</w:t>
            </w:r>
            <w:r w:rsidRPr="009B71DC">
              <w:rPr>
                <w:sz w:val="20"/>
                <w:szCs w:val="20"/>
              </w:rPr>
              <w:t xml:space="preserve"> sąra</w:t>
            </w:r>
            <w:r>
              <w:rPr>
                <w:sz w:val="20"/>
                <w:szCs w:val="20"/>
              </w:rPr>
              <w:t>š</w:t>
            </w:r>
            <w:r w:rsidRPr="009B71DC">
              <w:rPr>
                <w:sz w:val="20"/>
                <w:szCs w:val="20"/>
              </w:rPr>
              <w:t>e p</w:t>
            </w:r>
            <w:r>
              <w:rPr>
                <w:sz w:val="20"/>
                <w:szCs w:val="20"/>
              </w:rPr>
              <w:t>a</w:t>
            </w:r>
            <w:r w:rsidRPr="009B71DC">
              <w:rPr>
                <w:sz w:val="20"/>
                <w:szCs w:val="20"/>
              </w:rPr>
              <w:t>daryta papildoma iškeliama kolonėlė "Sąskaitos prierašas"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9D39EF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Sąrašai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Default="009B71DC" w:rsidP="009B71DC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Padarytas INI parametras PADIDINTI_KUI_KIEKIU_WEB_LIKUTI_KT_SK</w:t>
            </w:r>
            <w:r>
              <w:rPr>
                <w:sz w:val="20"/>
                <w:szCs w:val="20"/>
              </w:rPr>
              <w:t xml:space="preserve"> leidžiantis prie WEB likučių kituose skyriuose pridėti KUI tiekėjų likučius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9B71DC" w:rsidP="005C7F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</w:t>
            </w:r>
          </w:p>
        </w:tc>
      </w:tr>
      <w:tr w:rsidR="009B71DC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B71DC" w:rsidRPr="001E24B6" w:rsidRDefault="009B71DC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B71DC" w:rsidRDefault="009B71DC" w:rsidP="00091E0E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KUI kataloge padarytas mygtukas "Prekės judėjimas"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B71DC" w:rsidRDefault="009B71DC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 Katalogas</w:t>
            </w:r>
          </w:p>
        </w:tc>
      </w:tr>
      <w:tr w:rsidR="009D39EF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D39EF" w:rsidRPr="001E24B6" w:rsidRDefault="009D39EF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D39EF" w:rsidRDefault="009D39EF" w:rsidP="009D39EF">
            <w:pPr>
              <w:rPr>
                <w:sz w:val="20"/>
                <w:szCs w:val="20"/>
              </w:rPr>
            </w:pPr>
            <w:r w:rsidRPr="009B71DC">
              <w:rPr>
                <w:sz w:val="20"/>
                <w:szCs w:val="20"/>
              </w:rPr>
              <w:t>KUI katalogo importe padarytas automatinis prekių tipo ir pavadinimo nustatymas iš tiekėjo ir tiekėjo užsakomojo kodo. Pirmiausiai iešk</w:t>
            </w:r>
            <w:r>
              <w:rPr>
                <w:sz w:val="20"/>
                <w:szCs w:val="20"/>
              </w:rPr>
              <w:t>o</w:t>
            </w:r>
            <w:r w:rsidRPr="009B71DC">
              <w:rPr>
                <w:sz w:val="20"/>
                <w:szCs w:val="20"/>
              </w:rPr>
              <w:t xml:space="preserve">ma KUI kataloge ir jei nerasta, tada prekių </w:t>
            </w:r>
            <w:r>
              <w:rPr>
                <w:sz w:val="20"/>
                <w:szCs w:val="20"/>
              </w:rPr>
              <w:t>k</w:t>
            </w:r>
            <w:r w:rsidRPr="009B71DC">
              <w:rPr>
                <w:sz w:val="20"/>
                <w:szCs w:val="20"/>
              </w:rPr>
              <w:t>ataloge (bazinis tiekėjas ir užsakomasis kodas). Tam, kad tai suveiktų reikia PRTIPAS ir PAVADINIMAS laukams nurodyti fiksuotą rei</w:t>
            </w:r>
            <w:r>
              <w:rPr>
                <w:sz w:val="20"/>
                <w:szCs w:val="20"/>
              </w:rPr>
              <w:t>k</w:t>
            </w:r>
            <w:r w:rsidRPr="009B71DC">
              <w:rPr>
                <w:sz w:val="20"/>
                <w:szCs w:val="20"/>
              </w:rPr>
              <w:t>šmę paprastą tarpą.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Importas/Eksportas</w:t>
            </w:r>
          </w:p>
        </w:tc>
      </w:tr>
      <w:tr w:rsidR="009D39EF" w:rsidRPr="001E24B6" w:rsidTr="00BE7A20">
        <w:trPr>
          <w:cantSplit/>
          <w:trHeight w:val="508"/>
        </w:trPr>
        <w:tc>
          <w:tcPr>
            <w:tcW w:w="959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noWrap/>
            <w:vAlign w:val="center"/>
          </w:tcPr>
          <w:p w:rsidR="009D39EF" w:rsidRPr="001E24B6" w:rsidRDefault="009D39EF" w:rsidP="00BE7A20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rPr>
                <w:sz w:val="20"/>
                <w:szCs w:val="20"/>
              </w:rPr>
            </w:pPr>
            <w:r w:rsidRPr="009D39EF">
              <w:rPr>
                <w:sz w:val="20"/>
                <w:szCs w:val="20"/>
              </w:rPr>
              <w:t>Ištaisyta klaida dėl kurios į automatinį atsiskaitymo pagrindimą nedėdavo neigiamų išankstinių mokėjimų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88626A" w:rsidRDefault="009D39EF" w:rsidP="00BE7A20">
            <w:pPr>
              <w:rPr>
                <w:sz w:val="20"/>
                <w:szCs w:val="20"/>
              </w:rPr>
            </w:pPr>
            <w:r w:rsidRPr="009D39EF">
              <w:rPr>
                <w:sz w:val="20"/>
                <w:szCs w:val="20"/>
              </w:rPr>
              <w:t>Ištaisyta klaida dėl kurios</w:t>
            </w:r>
            <w:r>
              <w:rPr>
                <w:sz w:val="20"/>
                <w:szCs w:val="20"/>
              </w:rPr>
              <w:t xml:space="preserve"> įėjus į kelionės lapą siūlydavo jau nenaudojamus mechanizmus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9D39EF">
            <w:pPr>
              <w:rPr>
                <w:sz w:val="20"/>
                <w:szCs w:val="20"/>
              </w:rPr>
            </w:pPr>
            <w:r w:rsidRPr="009D39EF">
              <w:rPr>
                <w:sz w:val="20"/>
                <w:szCs w:val="20"/>
              </w:rPr>
              <w:t>Ištaisyta klaida kai nušokdavo įrašas likučiuo</w:t>
            </w:r>
            <w:r>
              <w:rPr>
                <w:sz w:val="20"/>
                <w:szCs w:val="20"/>
              </w:rPr>
              <w:t>s</w:t>
            </w:r>
            <w:r w:rsidRPr="009D39EF">
              <w:rPr>
                <w:sz w:val="20"/>
                <w:szCs w:val="20"/>
              </w:rPr>
              <w:t>e parduodant, kai daug tokių pačių prekių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2DCE" w:rsidRDefault="00AB2DCE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B7"/>
    <w:multiLevelType w:val="hybridMultilevel"/>
    <w:tmpl w:val="CD92FF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E5E"/>
    <w:multiLevelType w:val="hybridMultilevel"/>
    <w:tmpl w:val="AAC6D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B99"/>
    <w:multiLevelType w:val="hybridMultilevel"/>
    <w:tmpl w:val="E8A21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35A4"/>
    <w:multiLevelType w:val="hybridMultilevel"/>
    <w:tmpl w:val="2FC8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F5735"/>
    <w:multiLevelType w:val="hybridMultilevel"/>
    <w:tmpl w:val="A1A82E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86A70"/>
    <w:multiLevelType w:val="hybridMultilevel"/>
    <w:tmpl w:val="5032F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50BD7"/>
    <w:multiLevelType w:val="hybridMultilevel"/>
    <w:tmpl w:val="D9AA04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038C"/>
    <w:multiLevelType w:val="hybridMultilevel"/>
    <w:tmpl w:val="88F80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3"/>
  </w:num>
  <w:num w:numId="4">
    <w:abstractNumId w:val="11"/>
  </w:num>
  <w:num w:numId="5">
    <w:abstractNumId w:val="16"/>
  </w:num>
  <w:num w:numId="6">
    <w:abstractNumId w:val="7"/>
  </w:num>
  <w:num w:numId="7">
    <w:abstractNumId w:val="34"/>
  </w:num>
  <w:num w:numId="8">
    <w:abstractNumId w:val="37"/>
  </w:num>
  <w:num w:numId="9">
    <w:abstractNumId w:val="40"/>
  </w:num>
  <w:num w:numId="10">
    <w:abstractNumId w:val="20"/>
  </w:num>
  <w:num w:numId="11">
    <w:abstractNumId w:val="31"/>
  </w:num>
  <w:num w:numId="12">
    <w:abstractNumId w:val="29"/>
  </w:num>
  <w:num w:numId="13">
    <w:abstractNumId w:val="5"/>
  </w:num>
  <w:num w:numId="14">
    <w:abstractNumId w:val="33"/>
  </w:num>
  <w:num w:numId="15">
    <w:abstractNumId w:val="39"/>
  </w:num>
  <w:num w:numId="16">
    <w:abstractNumId w:val="28"/>
  </w:num>
  <w:num w:numId="17">
    <w:abstractNumId w:val="30"/>
  </w:num>
  <w:num w:numId="18">
    <w:abstractNumId w:val="19"/>
  </w:num>
  <w:num w:numId="19">
    <w:abstractNumId w:val="2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1"/>
  </w:num>
  <w:num w:numId="25">
    <w:abstractNumId w:val="41"/>
  </w:num>
  <w:num w:numId="26">
    <w:abstractNumId w:val="17"/>
  </w:num>
  <w:num w:numId="27">
    <w:abstractNumId w:val="27"/>
  </w:num>
  <w:num w:numId="28">
    <w:abstractNumId w:val="42"/>
  </w:num>
  <w:num w:numId="29">
    <w:abstractNumId w:val="8"/>
  </w:num>
  <w:num w:numId="30">
    <w:abstractNumId w:val="21"/>
  </w:num>
  <w:num w:numId="31">
    <w:abstractNumId w:val="18"/>
  </w:num>
  <w:num w:numId="32">
    <w:abstractNumId w:val="9"/>
  </w:num>
  <w:num w:numId="33">
    <w:abstractNumId w:val="24"/>
  </w:num>
  <w:num w:numId="34">
    <w:abstractNumId w:val="36"/>
  </w:num>
  <w:num w:numId="35">
    <w:abstractNumId w:val="35"/>
  </w:num>
  <w:num w:numId="36">
    <w:abstractNumId w:val="15"/>
  </w:num>
  <w:num w:numId="37">
    <w:abstractNumId w:val="0"/>
  </w:num>
  <w:num w:numId="38">
    <w:abstractNumId w:val="6"/>
  </w:num>
  <w:num w:numId="39">
    <w:abstractNumId w:val="4"/>
  </w:num>
  <w:num w:numId="40">
    <w:abstractNumId w:val="23"/>
  </w:num>
  <w:num w:numId="41">
    <w:abstractNumId w:val="43"/>
  </w:num>
  <w:num w:numId="42">
    <w:abstractNumId w:val="26"/>
  </w:num>
  <w:num w:numId="43">
    <w:abstractNumId w:val="38"/>
  </w:num>
  <w:num w:numId="4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E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2F4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02DF-2C0D-4F2C-AD22-79FC21C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52</TotalTime>
  <Pages>1</Pages>
  <Words>200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12</cp:revision>
  <cp:lastPrinted>2008-06-05T16:14:00Z</cp:lastPrinted>
  <dcterms:created xsi:type="dcterms:W3CDTF">2015-03-02T14:06:00Z</dcterms:created>
  <dcterms:modified xsi:type="dcterms:W3CDTF">2016-05-04T14:12:00Z</dcterms:modified>
</cp:coreProperties>
</file>