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0D1" w:rsidRDefault="004D40D1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 w:rsidRPr="001E24B6">
        <w:t>20</w:t>
      </w:r>
      <w:r w:rsidR="00BE43D8" w:rsidRPr="001E24B6">
        <w:t>1</w:t>
      </w:r>
      <w:r w:rsidR="00DB35A4">
        <w:t>8</w:t>
      </w:r>
      <w:r w:rsidRPr="001E24B6">
        <w:t>.</w:t>
      </w:r>
      <w:r w:rsidR="00DB35A4">
        <w:t>0</w:t>
      </w:r>
      <w:r w:rsidR="00EC1DEE">
        <w:t>6</w:t>
      </w:r>
      <w:r w:rsidRPr="001E24B6">
        <w:t>.</w:t>
      </w:r>
      <w:r w:rsidR="00EC1DEE">
        <w:t>30</w:t>
      </w:r>
    </w:p>
    <w:p w:rsidR="00BB675F" w:rsidRDefault="00BB675F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</w:p>
    <w:p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20</w:t>
      </w:r>
      <w:r w:rsidR="00BE43D8" w:rsidRPr="001E24B6">
        <w:t>1</w:t>
      </w:r>
      <w:r w:rsidR="00DB35A4">
        <w:t>8</w:t>
      </w:r>
      <w:r w:rsidR="004D40D1" w:rsidRPr="001E24B6">
        <w:t xml:space="preserve"> m. </w:t>
      </w:r>
      <w:r w:rsidR="00EC1DEE">
        <w:t>birželio</w:t>
      </w:r>
      <w:r w:rsidR="006E74D3" w:rsidRPr="001E24B6">
        <w:t xml:space="preserve"> 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proofErr w:type="spellStart"/>
            <w:r w:rsidRPr="001E24B6">
              <w:rPr>
                <w:b/>
                <w:bCs/>
                <w:sz w:val="20"/>
                <w:szCs w:val="20"/>
              </w:rPr>
              <w:t>nr.</w:t>
            </w:r>
            <w:proofErr w:type="spellEnd"/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:rsidTr="00EC1AE2">
        <w:trPr>
          <w:cantSplit/>
        </w:trPr>
        <w:tc>
          <w:tcPr>
            <w:tcW w:w="959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:rsidTr="007B5879">
        <w:trPr>
          <w:cantSplit/>
        </w:trPr>
        <w:tc>
          <w:tcPr>
            <w:tcW w:w="959" w:type="dxa"/>
            <w:vAlign w:val="center"/>
          </w:tcPr>
          <w:p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EC1DEE" w:rsidRPr="00EC1DEE" w:rsidRDefault="00EC1DEE" w:rsidP="00EC1DE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C1DEE">
              <w:rPr>
                <w:sz w:val="20"/>
                <w:szCs w:val="20"/>
              </w:rPr>
              <w:t>Pirkimo dokumento įvedimo formoje</w:t>
            </w:r>
          </w:p>
          <w:p w:rsidR="00EC1DEE" w:rsidRPr="00EC1DEE" w:rsidRDefault="00EC1DEE" w:rsidP="00EC1DE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C1DEE">
              <w:rPr>
                <w:sz w:val="20"/>
                <w:szCs w:val="20"/>
              </w:rPr>
              <w:t>Degalų pirkimo dokumento įvedimo formoje</w:t>
            </w:r>
          </w:p>
          <w:p w:rsidR="00EC1DEE" w:rsidRPr="00EC1DEE" w:rsidRDefault="00EC1DEE" w:rsidP="00EC1DE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C1DEE">
              <w:rPr>
                <w:sz w:val="20"/>
                <w:szCs w:val="20"/>
              </w:rPr>
              <w:t>IT pajamavimo dokumento įvedimo formoje</w:t>
            </w:r>
          </w:p>
          <w:p w:rsidR="00EC1DEE" w:rsidRPr="00EC1DEE" w:rsidRDefault="00EC1DEE" w:rsidP="00EC1DE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C1DEE">
              <w:rPr>
                <w:sz w:val="20"/>
                <w:szCs w:val="20"/>
              </w:rPr>
              <w:t>IT vertės padidinimo dokumento įvedimo formoje</w:t>
            </w:r>
          </w:p>
          <w:p w:rsidR="002975DF" w:rsidRPr="00EC1DEE" w:rsidRDefault="00EC1DEE" w:rsidP="00EC1DEE">
            <w:pPr>
              <w:rPr>
                <w:sz w:val="20"/>
                <w:szCs w:val="20"/>
              </w:rPr>
            </w:pPr>
            <w:r w:rsidRPr="00EC1DEE">
              <w:rPr>
                <w:sz w:val="20"/>
                <w:szCs w:val="20"/>
              </w:rPr>
              <w:t>šalia PVM sumos padarytas mygtukas, kurio pagalba galima rankomis perskaičiuoti PVM, kai to reikia. Sistema pati pasiūlydavo PVM sumą po to kai įvedate bend</w:t>
            </w:r>
            <w:r>
              <w:rPr>
                <w:sz w:val="20"/>
                <w:szCs w:val="20"/>
              </w:rPr>
              <w:t>r</w:t>
            </w:r>
            <w:r w:rsidRPr="00EC1DEE">
              <w:rPr>
                <w:sz w:val="20"/>
                <w:szCs w:val="20"/>
              </w:rPr>
              <w:t>ą sumą su PVM, tačiau jei ją pakeisda</w:t>
            </w:r>
            <w:r>
              <w:rPr>
                <w:sz w:val="20"/>
                <w:szCs w:val="20"/>
              </w:rPr>
              <w:t>v</w:t>
            </w:r>
            <w:r w:rsidRPr="00EC1DEE">
              <w:rPr>
                <w:sz w:val="20"/>
                <w:szCs w:val="20"/>
              </w:rPr>
              <w:t>ote - suma nepersiskaičiuodavo. Šis mygtukas taip pat padės perskaičiuoti PVM importo atveju jei keitėsi valiutos kursas ar be</w:t>
            </w:r>
            <w:r>
              <w:rPr>
                <w:sz w:val="20"/>
                <w:szCs w:val="20"/>
              </w:rPr>
              <w:t>n</w:t>
            </w:r>
            <w:r w:rsidRPr="00EC1DEE">
              <w:rPr>
                <w:sz w:val="20"/>
                <w:szCs w:val="20"/>
              </w:rPr>
              <w:t>dra suma.</w:t>
            </w:r>
          </w:p>
        </w:tc>
        <w:tc>
          <w:tcPr>
            <w:tcW w:w="1800" w:type="dxa"/>
            <w:vAlign w:val="center"/>
          </w:tcPr>
          <w:p w:rsidR="006D6D2A" w:rsidRDefault="006D6D2A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F404F" w:rsidRPr="001E24B6" w:rsidTr="007B5879">
        <w:trPr>
          <w:cantSplit/>
        </w:trPr>
        <w:tc>
          <w:tcPr>
            <w:tcW w:w="959" w:type="dxa"/>
            <w:vAlign w:val="center"/>
          </w:tcPr>
          <w:p w:rsidR="006F404F" w:rsidRPr="001E24B6" w:rsidRDefault="006F404F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EC1DEE" w:rsidRPr="00EC1DEE" w:rsidRDefault="00EC1DEE" w:rsidP="00EC1DEE">
            <w:pPr>
              <w:rPr>
                <w:sz w:val="20"/>
                <w:szCs w:val="20"/>
              </w:rPr>
            </w:pPr>
            <w:r w:rsidRPr="00EC1DEE">
              <w:rPr>
                <w:sz w:val="20"/>
                <w:szCs w:val="20"/>
              </w:rPr>
              <w:t>Viršutinio meniu punktas "Servisas / Papildomos operacijos" papildytas nauju funkcionalumu "Įvairių ne buhalterinių, besikaupiančių duomenų valymas".</w:t>
            </w:r>
          </w:p>
          <w:p w:rsidR="00EC1DEE" w:rsidRPr="00EC1DEE" w:rsidRDefault="00EC1DEE" w:rsidP="00EC1DEE">
            <w:pPr>
              <w:rPr>
                <w:sz w:val="20"/>
                <w:szCs w:val="20"/>
              </w:rPr>
            </w:pPr>
            <w:r w:rsidRPr="00EC1DEE">
              <w:rPr>
                <w:sz w:val="20"/>
                <w:szCs w:val="20"/>
              </w:rPr>
              <w:t>Jame iki tam tikros datos galima išvalyti:</w:t>
            </w:r>
          </w:p>
          <w:p w:rsidR="00EC1DEE" w:rsidRPr="00EC1DEE" w:rsidRDefault="00EC1DEE" w:rsidP="00EC1DE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C1DEE">
              <w:rPr>
                <w:sz w:val="20"/>
                <w:szCs w:val="20"/>
              </w:rPr>
              <w:t>WEB prisijungimų statistiką</w:t>
            </w:r>
          </w:p>
          <w:p w:rsidR="00EC1DEE" w:rsidRPr="00EC1DEE" w:rsidRDefault="00EC1DEE" w:rsidP="00EC1DE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C1DEE">
              <w:rPr>
                <w:sz w:val="20"/>
                <w:szCs w:val="20"/>
              </w:rPr>
              <w:t xml:space="preserve">Pirkėjų ir </w:t>
            </w:r>
            <w:r w:rsidRPr="00EC1DEE">
              <w:rPr>
                <w:sz w:val="20"/>
                <w:szCs w:val="20"/>
              </w:rPr>
              <w:t>tie</w:t>
            </w:r>
            <w:r w:rsidRPr="00EC1DEE">
              <w:rPr>
                <w:sz w:val="20"/>
                <w:szCs w:val="20"/>
              </w:rPr>
              <w:t>kėjų pilnai įvykdytus užsakymus</w:t>
            </w:r>
          </w:p>
          <w:p w:rsidR="00EC1DEE" w:rsidRPr="00EC1DEE" w:rsidRDefault="00EC1DEE" w:rsidP="00EC1DE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C1DEE">
              <w:rPr>
                <w:sz w:val="20"/>
                <w:szCs w:val="20"/>
              </w:rPr>
              <w:t>Sandėlio modulio istoriją</w:t>
            </w:r>
          </w:p>
          <w:p w:rsidR="00EC1DEE" w:rsidRPr="00EC1DEE" w:rsidRDefault="00EC1DEE" w:rsidP="00EC1DE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C1DEE">
              <w:rPr>
                <w:sz w:val="20"/>
                <w:szCs w:val="20"/>
              </w:rPr>
              <w:t>Programos įvykių žurnalo duomenis</w:t>
            </w:r>
          </w:p>
          <w:p w:rsidR="00EC434F" w:rsidRPr="0072390B" w:rsidRDefault="00EC1DEE" w:rsidP="00EC1DEE">
            <w:pPr>
              <w:rPr>
                <w:sz w:val="20"/>
                <w:szCs w:val="20"/>
              </w:rPr>
            </w:pPr>
            <w:r w:rsidRPr="00EC1DEE">
              <w:rPr>
                <w:sz w:val="20"/>
                <w:szCs w:val="20"/>
              </w:rPr>
              <w:t>Operaciją atlikti galima tik darbuotojui turinčiam Sistemos administracijos leidimą.</w:t>
            </w:r>
          </w:p>
        </w:tc>
        <w:tc>
          <w:tcPr>
            <w:tcW w:w="1800" w:type="dxa"/>
            <w:vAlign w:val="center"/>
          </w:tcPr>
          <w:p w:rsidR="006F404F" w:rsidRDefault="006F404F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DB35A4" w:rsidRPr="001E24B6" w:rsidTr="007B5879">
        <w:trPr>
          <w:cantSplit/>
        </w:trPr>
        <w:tc>
          <w:tcPr>
            <w:tcW w:w="959" w:type="dxa"/>
            <w:vAlign w:val="center"/>
          </w:tcPr>
          <w:p w:rsidR="00DB35A4" w:rsidRPr="001E24B6" w:rsidRDefault="00DB35A4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EC1DEE" w:rsidRPr="00EC1DEE" w:rsidRDefault="00EC1DEE" w:rsidP="00EC1DEE">
            <w:pPr>
              <w:rPr>
                <w:sz w:val="20"/>
                <w:szCs w:val="20"/>
              </w:rPr>
            </w:pPr>
            <w:r w:rsidRPr="00EC1DEE">
              <w:rPr>
                <w:sz w:val="20"/>
                <w:szCs w:val="20"/>
              </w:rPr>
              <w:t>Gabenimų kontrolės ataska</w:t>
            </w:r>
            <w:r>
              <w:rPr>
                <w:sz w:val="20"/>
                <w:szCs w:val="20"/>
              </w:rPr>
              <w:t>i</w:t>
            </w:r>
            <w:r w:rsidRPr="00EC1DEE">
              <w:rPr>
                <w:sz w:val="20"/>
                <w:szCs w:val="20"/>
              </w:rPr>
              <w:t>ta papildyta 2 kolonėlėmis vartotojų kuriamiems spausdinimams:</w:t>
            </w:r>
          </w:p>
          <w:p w:rsidR="00EC1DEE" w:rsidRPr="00EC1DEE" w:rsidRDefault="00EC1DEE" w:rsidP="00EC1DE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C1DEE">
              <w:rPr>
                <w:sz w:val="20"/>
                <w:szCs w:val="20"/>
              </w:rPr>
              <w:t>PRISTAT_ADRESAS- Pristatymo adresas</w:t>
            </w:r>
          </w:p>
          <w:p w:rsidR="00491C55" w:rsidRPr="00EC1DEE" w:rsidRDefault="00EC1DEE" w:rsidP="00EC1DE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C1DEE">
              <w:rPr>
                <w:sz w:val="20"/>
                <w:szCs w:val="20"/>
              </w:rPr>
              <w:t xml:space="preserve">GABENTIPAS_PAV - Gabenimo tipo ir </w:t>
            </w:r>
            <w:proofErr w:type="spellStart"/>
            <w:r w:rsidRPr="00EC1DEE">
              <w:rPr>
                <w:sz w:val="20"/>
                <w:szCs w:val="20"/>
              </w:rPr>
              <w:t>subtipo</w:t>
            </w:r>
            <w:proofErr w:type="spellEnd"/>
            <w:r w:rsidRPr="00EC1DEE">
              <w:rPr>
                <w:sz w:val="20"/>
                <w:szCs w:val="20"/>
              </w:rPr>
              <w:t xml:space="preserve"> pavadinimai</w:t>
            </w:r>
          </w:p>
        </w:tc>
        <w:tc>
          <w:tcPr>
            <w:tcW w:w="1800" w:type="dxa"/>
            <w:vAlign w:val="center"/>
          </w:tcPr>
          <w:p w:rsidR="00DB35A4" w:rsidRDefault="00DB35A4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EC1DEE" w:rsidRPr="001E24B6" w:rsidTr="007B5879">
        <w:trPr>
          <w:cantSplit/>
        </w:trPr>
        <w:tc>
          <w:tcPr>
            <w:tcW w:w="959" w:type="dxa"/>
            <w:vAlign w:val="center"/>
          </w:tcPr>
          <w:p w:rsidR="00EC1DEE" w:rsidRPr="001E24B6" w:rsidRDefault="00EC1DEE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EC1DEE" w:rsidRPr="00EC1DEE" w:rsidRDefault="00EC1DEE" w:rsidP="00EC1DEE">
            <w:pPr>
              <w:rPr>
                <w:sz w:val="20"/>
                <w:szCs w:val="20"/>
              </w:rPr>
            </w:pPr>
            <w:r w:rsidRPr="00EC1DEE">
              <w:rPr>
                <w:sz w:val="20"/>
                <w:szCs w:val="20"/>
              </w:rPr>
              <w:t>Ko</w:t>
            </w:r>
            <w:r>
              <w:rPr>
                <w:sz w:val="20"/>
                <w:szCs w:val="20"/>
              </w:rPr>
              <w:t>m</w:t>
            </w:r>
            <w:r w:rsidRPr="00EC1DE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</w:t>
            </w:r>
            <w:r w:rsidRPr="00EC1DEE">
              <w:rPr>
                <w:sz w:val="20"/>
                <w:szCs w:val="20"/>
              </w:rPr>
              <w:t>eksinio tiekėjų ir pirkėjų duomenų importo struktūros papildytos kolonėle SASKAITA_ISANKST_MOK - sąskaita išankstiniams mokėjimams.</w:t>
            </w:r>
          </w:p>
          <w:p w:rsidR="00EC1DEE" w:rsidRPr="00EC1DEE" w:rsidRDefault="00EC1DEE" w:rsidP="00EC1DEE">
            <w:pPr>
              <w:rPr>
                <w:sz w:val="20"/>
                <w:szCs w:val="20"/>
              </w:rPr>
            </w:pPr>
            <w:r w:rsidRPr="00EC1DEE">
              <w:rPr>
                <w:sz w:val="20"/>
                <w:szCs w:val="20"/>
              </w:rPr>
              <w:t>Jos nenurodžius vertė imama iš sistemos konfigūracijos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EC1DEE" w:rsidRDefault="00EC1DEE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A0915" w:rsidRDefault="00CA0915">
      <w:pPr>
        <w:pStyle w:val="Header"/>
        <w:tabs>
          <w:tab w:val="clear" w:pos="4153"/>
          <w:tab w:val="clear" w:pos="8306"/>
        </w:tabs>
        <w:spacing w:before="120"/>
      </w:pPr>
    </w:p>
    <w:p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23F" w:rsidRDefault="007C223F">
      <w:r>
        <w:separator/>
      </w:r>
    </w:p>
  </w:endnote>
  <w:endnote w:type="continuationSeparator" w:id="0">
    <w:p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23F" w:rsidRDefault="007C223F">
      <w:r>
        <w:separator/>
      </w:r>
    </w:p>
  </w:footnote>
  <w:footnote w:type="continuationSeparator" w:id="0">
    <w:p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7A9AA1E" wp14:editId="12EFE41E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BB3"/>
    <w:multiLevelType w:val="hybridMultilevel"/>
    <w:tmpl w:val="B78CE6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57C8"/>
    <w:multiLevelType w:val="hybridMultilevel"/>
    <w:tmpl w:val="D988BA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E22F1"/>
    <w:multiLevelType w:val="hybridMultilevel"/>
    <w:tmpl w:val="698471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7E"/>
    <w:multiLevelType w:val="hybridMultilevel"/>
    <w:tmpl w:val="A6929A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429E4"/>
    <w:multiLevelType w:val="hybridMultilevel"/>
    <w:tmpl w:val="97CAC1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5C029A"/>
    <w:multiLevelType w:val="hybridMultilevel"/>
    <w:tmpl w:val="020E2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B5E64"/>
    <w:multiLevelType w:val="hybridMultilevel"/>
    <w:tmpl w:val="D53C1C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269BC"/>
    <w:multiLevelType w:val="hybridMultilevel"/>
    <w:tmpl w:val="538EC0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326278"/>
    <w:multiLevelType w:val="hybridMultilevel"/>
    <w:tmpl w:val="AE78DC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96F97"/>
    <w:multiLevelType w:val="hybridMultilevel"/>
    <w:tmpl w:val="832466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B6498"/>
    <w:rsid w:val="000C04FD"/>
    <w:rsid w:val="000C773F"/>
    <w:rsid w:val="000D7E8B"/>
    <w:rsid w:val="000F0BFA"/>
    <w:rsid w:val="000F2A47"/>
    <w:rsid w:val="00105895"/>
    <w:rsid w:val="00105EEF"/>
    <w:rsid w:val="00114028"/>
    <w:rsid w:val="00114408"/>
    <w:rsid w:val="00117FBA"/>
    <w:rsid w:val="00120938"/>
    <w:rsid w:val="00123B4A"/>
    <w:rsid w:val="00125663"/>
    <w:rsid w:val="00142BD3"/>
    <w:rsid w:val="0014460A"/>
    <w:rsid w:val="00144A7C"/>
    <w:rsid w:val="00156BBA"/>
    <w:rsid w:val="001665C1"/>
    <w:rsid w:val="00167472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975DF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E0E9D"/>
    <w:rsid w:val="002F1902"/>
    <w:rsid w:val="002F3040"/>
    <w:rsid w:val="002F41CE"/>
    <w:rsid w:val="002F7021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35D8"/>
    <w:rsid w:val="00364CD3"/>
    <w:rsid w:val="0036751A"/>
    <w:rsid w:val="00371119"/>
    <w:rsid w:val="00371FA5"/>
    <w:rsid w:val="00384DE8"/>
    <w:rsid w:val="00392A34"/>
    <w:rsid w:val="003965DF"/>
    <w:rsid w:val="003A479F"/>
    <w:rsid w:val="003B3943"/>
    <w:rsid w:val="003B4F19"/>
    <w:rsid w:val="003B4FB2"/>
    <w:rsid w:val="003E0CAD"/>
    <w:rsid w:val="003E0F26"/>
    <w:rsid w:val="003E483B"/>
    <w:rsid w:val="003E52A9"/>
    <w:rsid w:val="003E581F"/>
    <w:rsid w:val="003E7E8A"/>
    <w:rsid w:val="0040196B"/>
    <w:rsid w:val="00410870"/>
    <w:rsid w:val="0042307E"/>
    <w:rsid w:val="00426C6A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C32E5"/>
    <w:rsid w:val="004D0699"/>
    <w:rsid w:val="004D40D1"/>
    <w:rsid w:val="004F54C5"/>
    <w:rsid w:val="00500EE5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43566"/>
    <w:rsid w:val="0054647F"/>
    <w:rsid w:val="00546822"/>
    <w:rsid w:val="00554B20"/>
    <w:rsid w:val="00556B3E"/>
    <w:rsid w:val="00562910"/>
    <w:rsid w:val="005656FB"/>
    <w:rsid w:val="005659E2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C0866"/>
    <w:rsid w:val="006C3386"/>
    <w:rsid w:val="006D01F0"/>
    <w:rsid w:val="006D057D"/>
    <w:rsid w:val="006D6D2A"/>
    <w:rsid w:val="006D714D"/>
    <w:rsid w:val="006E182D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2390B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879CE"/>
    <w:rsid w:val="008903FC"/>
    <w:rsid w:val="008B5019"/>
    <w:rsid w:val="008B59A3"/>
    <w:rsid w:val="008B66F5"/>
    <w:rsid w:val="008C2FCB"/>
    <w:rsid w:val="008C4FF2"/>
    <w:rsid w:val="008C6B76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5CE9"/>
    <w:rsid w:val="00907537"/>
    <w:rsid w:val="00917DEA"/>
    <w:rsid w:val="00917E05"/>
    <w:rsid w:val="00926158"/>
    <w:rsid w:val="00926179"/>
    <w:rsid w:val="00931044"/>
    <w:rsid w:val="00936904"/>
    <w:rsid w:val="0094016A"/>
    <w:rsid w:val="00946FE9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4EEF"/>
    <w:rsid w:val="009F7754"/>
    <w:rsid w:val="00A016FD"/>
    <w:rsid w:val="00A0195A"/>
    <w:rsid w:val="00A04E62"/>
    <w:rsid w:val="00A0791C"/>
    <w:rsid w:val="00A16F7E"/>
    <w:rsid w:val="00A2440A"/>
    <w:rsid w:val="00A3513A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4EBE"/>
    <w:rsid w:val="00BD599D"/>
    <w:rsid w:val="00BE3B9C"/>
    <w:rsid w:val="00BE3BD9"/>
    <w:rsid w:val="00BE43D8"/>
    <w:rsid w:val="00BE46B6"/>
    <w:rsid w:val="00BF0E29"/>
    <w:rsid w:val="00BF28A4"/>
    <w:rsid w:val="00BF2B7F"/>
    <w:rsid w:val="00BF5BEA"/>
    <w:rsid w:val="00BF5F75"/>
    <w:rsid w:val="00C21564"/>
    <w:rsid w:val="00C24C4E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2E2B"/>
    <w:rsid w:val="00D34B4D"/>
    <w:rsid w:val="00D36DED"/>
    <w:rsid w:val="00D45C18"/>
    <w:rsid w:val="00D522F6"/>
    <w:rsid w:val="00D54CE3"/>
    <w:rsid w:val="00D6648D"/>
    <w:rsid w:val="00D7703B"/>
    <w:rsid w:val="00D926FA"/>
    <w:rsid w:val="00D97003"/>
    <w:rsid w:val="00DA754A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6654F"/>
    <w:rsid w:val="00E66AD8"/>
    <w:rsid w:val="00E7192C"/>
    <w:rsid w:val="00E71F21"/>
    <w:rsid w:val="00E7486B"/>
    <w:rsid w:val="00E75CB6"/>
    <w:rsid w:val="00E847D7"/>
    <w:rsid w:val="00E91EC1"/>
    <w:rsid w:val="00E9373C"/>
    <w:rsid w:val="00EA6A86"/>
    <w:rsid w:val="00EB424D"/>
    <w:rsid w:val="00EB6B36"/>
    <w:rsid w:val="00EC1AE2"/>
    <w:rsid w:val="00EC1DEE"/>
    <w:rsid w:val="00EC434F"/>
    <w:rsid w:val="00ED25E4"/>
    <w:rsid w:val="00ED5BCD"/>
    <w:rsid w:val="00EE0E34"/>
    <w:rsid w:val="00EE4871"/>
    <w:rsid w:val="00EE61EC"/>
    <w:rsid w:val="00F0052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B335C"/>
    <w:rsid w:val="00FB3736"/>
    <w:rsid w:val="00FB69CD"/>
    <w:rsid w:val="00FB69F5"/>
    <w:rsid w:val="00FB7CCD"/>
    <w:rsid w:val="00FC4643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3F220443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4E406-5C5D-4CBB-8930-22611709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814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67</cp:revision>
  <cp:lastPrinted>2008-06-05T16:14:00Z</cp:lastPrinted>
  <dcterms:created xsi:type="dcterms:W3CDTF">2015-03-02T14:06:00Z</dcterms:created>
  <dcterms:modified xsi:type="dcterms:W3CDTF">2018-07-02T09:12:00Z</dcterms:modified>
</cp:coreProperties>
</file>