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0D1" w:rsidRDefault="004D40D1">
      <w:pPr>
        <w:pStyle w:val="Header"/>
        <w:tabs>
          <w:tab w:val="clear" w:pos="4153"/>
          <w:tab w:val="clear" w:pos="8306"/>
          <w:tab w:val="left" w:pos="720"/>
          <w:tab w:val="left" w:pos="900"/>
        </w:tabs>
        <w:jc w:val="right"/>
      </w:pPr>
      <w:bookmarkStart w:id="0" w:name="_GoBack"/>
      <w:bookmarkEnd w:id="0"/>
      <w:r w:rsidRPr="001E24B6">
        <w:t>20</w:t>
      </w:r>
      <w:r w:rsidR="00BE43D8" w:rsidRPr="001E24B6">
        <w:t>1</w:t>
      </w:r>
      <w:r w:rsidR="00D309F1">
        <w:t>9</w:t>
      </w:r>
      <w:r w:rsidRPr="001E24B6">
        <w:t>.</w:t>
      </w:r>
      <w:r w:rsidR="00D309F1">
        <w:t>0</w:t>
      </w:r>
      <w:r w:rsidR="00DF64E0">
        <w:t>9</w:t>
      </w:r>
      <w:r w:rsidRPr="001E24B6">
        <w:t>.</w:t>
      </w:r>
      <w:r w:rsidR="00ED47E8">
        <w:t>3</w:t>
      </w:r>
      <w:r w:rsidR="00DF64E0">
        <w:t>0</w:t>
      </w:r>
    </w:p>
    <w:p w:rsidR="004D40D1" w:rsidRPr="001E24B6" w:rsidRDefault="000476DC">
      <w:pPr>
        <w:pStyle w:val="Header"/>
        <w:tabs>
          <w:tab w:val="clear" w:pos="4153"/>
          <w:tab w:val="clear" w:pos="8306"/>
        </w:tabs>
        <w:spacing w:after="120"/>
      </w:pPr>
      <w:r w:rsidRPr="001E24B6">
        <w:t>Programos ECount p</w:t>
      </w:r>
      <w:r w:rsidR="004D40D1" w:rsidRPr="001E24B6">
        <w:t>akeitimų ir papildymų</w:t>
      </w:r>
      <w:r w:rsidR="008E4BD0">
        <w:t>,</w:t>
      </w:r>
      <w:r w:rsidR="004D40D1" w:rsidRPr="001E24B6">
        <w:t xml:space="preserve"> padarytų </w:t>
      </w:r>
      <w:r w:rsidR="00D309F1">
        <w:t>2019</w:t>
      </w:r>
      <w:r w:rsidR="004D40D1" w:rsidRPr="001E24B6">
        <w:t xml:space="preserve"> m. </w:t>
      </w:r>
      <w:r w:rsidR="0025732E">
        <w:t>rug</w:t>
      </w:r>
      <w:r w:rsidR="00DF64E0">
        <w:t>sėjo</w:t>
      </w:r>
      <w:r w:rsidR="00E32980">
        <w:t xml:space="preserve"> mėnesį</w:t>
      </w:r>
      <w:r w:rsidR="008E4BD0">
        <w:t>,</w:t>
      </w:r>
      <w:r w:rsidR="004D40D1" w:rsidRPr="001E24B6">
        <w:t xml:space="preserve"> sąrašas: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20"/>
        <w:gridCol w:w="1800"/>
      </w:tblGrid>
      <w:tr w:rsidR="004D40D1" w:rsidRPr="001E24B6" w:rsidTr="00EC1AE2">
        <w:trPr>
          <w:cantSplit/>
        </w:trPr>
        <w:tc>
          <w:tcPr>
            <w:tcW w:w="959" w:type="dxa"/>
            <w:tcBorders>
              <w:bottom w:val="single" w:sz="4" w:space="0" w:color="auto"/>
            </w:tcBorders>
            <w:vAlign w:val="center"/>
          </w:tcPr>
          <w:p w:rsidR="004D40D1" w:rsidRPr="001E24B6" w:rsidRDefault="004D40D1">
            <w:pPr>
              <w:pStyle w:val="Header"/>
              <w:tabs>
                <w:tab w:val="clear" w:pos="4153"/>
                <w:tab w:val="clear" w:pos="8306"/>
              </w:tabs>
              <w:jc w:val="center"/>
              <w:rPr>
                <w:b/>
                <w:bCs/>
                <w:sz w:val="20"/>
                <w:szCs w:val="20"/>
              </w:rPr>
            </w:pPr>
            <w:r w:rsidRPr="001E24B6">
              <w:rPr>
                <w:b/>
                <w:bCs/>
                <w:sz w:val="20"/>
                <w:szCs w:val="20"/>
              </w:rPr>
              <w:t xml:space="preserve">Eilės </w:t>
            </w:r>
            <w:r w:rsidR="00121B1F" w:rsidRPr="001E24B6">
              <w:rPr>
                <w:b/>
                <w:bCs/>
                <w:sz w:val="20"/>
                <w:szCs w:val="20"/>
              </w:rPr>
              <w:t>Nr.</w:t>
            </w:r>
          </w:p>
        </w:tc>
        <w:tc>
          <w:tcPr>
            <w:tcW w:w="7020" w:type="dxa"/>
            <w:tcBorders>
              <w:bottom w:val="single" w:sz="4" w:space="0" w:color="auto"/>
            </w:tcBorders>
            <w:vAlign w:val="center"/>
          </w:tcPr>
          <w:p w:rsidR="004D40D1" w:rsidRPr="001E24B6" w:rsidRDefault="004D40D1" w:rsidP="00EC1AE2">
            <w:pPr>
              <w:pStyle w:val="Header"/>
              <w:tabs>
                <w:tab w:val="clear" w:pos="4153"/>
                <w:tab w:val="clear" w:pos="8306"/>
              </w:tabs>
              <w:rPr>
                <w:b/>
                <w:bCs/>
                <w:sz w:val="20"/>
                <w:szCs w:val="20"/>
              </w:rPr>
            </w:pPr>
            <w:r w:rsidRPr="001E24B6">
              <w:rPr>
                <w:b/>
                <w:bCs/>
                <w:sz w:val="20"/>
                <w:szCs w:val="20"/>
              </w:rPr>
              <w:t>Papildymo ar pakeitimo aprašymas</w:t>
            </w:r>
          </w:p>
        </w:tc>
        <w:tc>
          <w:tcPr>
            <w:tcW w:w="1800" w:type="dxa"/>
            <w:tcBorders>
              <w:bottom w:val="single" w:sz="4" w:space="0" w:color="auto"/>
            </w:tcBorders>
            <w:vAlign w:val="center"/>
          </w:tcPr>
          <w:p w:rsidR="004D40D1" w:rsidRPr="001E24B6" w:rsidRDefault="004D40D1">
            <w:pPr>
              <w:pStyle w:val="Header"/>
              <w:tabs>
                <w:tab w:val="clear" w:pos="4153"/>
                <w:tab w:val="clear" w:pos="8306"/>
              </w:tabs>
              <w:jc w:val="center"/>
              <w:rPr>
                <w:b/>
                <w:bCs/>
                <w:sz w:val="20"/>
                <w:szCs w:val="20"/>
              </w:rPr>
            </w:pPr>
            <w:r w:rsidRPr="001E24B6">
              <w:rPr>
                <w:b/>
                <w:bCs/>
                <w:sz w:val="20"/>
                <w:szCs w:val="20"/>
              </w:rPr>
              <w:t>Paskirtis</w:t>
            </w:r>
          </w:p>
        </w:tc>
      </w:tr>
      <w:tr w:rsidR="00FC4643" w:rsidRPr="001E24B6" w:rsidTr="00EC1AE2">
        <w:trPr>
          <w:cantSplit/>
        </w:trPr>
        <w:tc>
          <w:tcPr>
            <w:tcW w:w="959" w:type="dxa"/>
            <w:vAlign w:val="center"/>
          </w:tcPr>
          <w:p w:rsidR="00FC4643" w:rsidRPr="001E24B6" w:rsidRDefault="00FC4643" w:rsidP="000F2A47">
            <w:pPr>
              <w:pStyle w:val="Header"/>
              <w:tabs>
                <w:tab w:val="clear" w:pos="4153"/>
                <w:tab w:val="clear" w:pos="8306"/>
              </w:tabs>
              <w:ind w:left="360"/>
              <w:jc w:val="center"/>
              <w:rPr>
                <w:b/>
                <w:bCs/>
                <w:sz w:val="20"/>
                <w:szCs w:val="20"/>
              </w:rPr>
            </w:pPr>
          </w:p>
        </w:tc>
        <w:tc>
          <w:tcPr>
            <w:tcW w:w="7020" w:type="dxa"/>
            <w:noWrap/>
            <w:vAlign w:val="center"/>
          </w:tcPr>
          <w:p w:rsidR="00FC4643" w:rsidRPr="001E24B6" w:rsidRDefault="00FC4643" w:rsidP="00EC1AE2">
            <w:pPr>
              <w:rPr>
                <w:b/>
                <w:i/>
                <w:sz w:val="20"/>
                <w:szCs w:val="20"/>
              </w:rPr>
            </w:pPr>
            <w:r w:rsidRPr="001E24B6">
              <w:rPr>
                <w:b/>
                <w:i/>
                <w:sz w:val="20"/>
                <w:szCs w:val="20"/>
              </w:rPr>
              <w:t>Atnaujinimai, patobulinimai, naujos galimybės</w:t>
            </w:r>
          </w:p>
        </w:tc>
        <w:tc>
          <w:tcPr>
            <w:tcW w:w="1800" w:type="dxa"/>
            <w:vAlign w:val="center"/>
          </w:tcPr>
          <w:p w:rsidR="00FC4643" w:rsidRPr="001E24B6" w:rsidRDefault="00FC4643" w:rsidP="000F2A47">
            <w:pPr>
              <w:pStyle w:val="Header"/>
              <w:tabs>
                <w:tab w:val="clear" w:pos="4153"/>
                <w:tab w:val="clear" w:pos="8306"/>
              </w:tabs>
              <w:jc w:val="center"/>
              <w:rPr>
                <w:sz w:val="20"/>
                <w:szCs w:val="20"/>
              </w:rPr>
            </w:pPr>
          </w:p>
        </w:tc>
      </w:tr>
      <w:tr w:rsidR="00D33CD8" w:rsidRPr="001E24B6" w:rsidTr="007B5879">
        <w:trPr>
          <w:cantSplit/>
        </w:trPr>
        <w:tc>
          <w:tcPr>
            <w:tcW w:w="959" w:type="dxa"/>
            <w:vAlign w:val="center"/>
          </w:tcPr>
          <w:p w:rsidR="00D33CD8" w:rsidRPr="001E24B6" w:rsidRDefault="00D33CD8" w:rsidP="005367F1">
            <w:pPr>
              <w:pStyle w:val="Header"/>
              <w:numPr>
                <w:ilvl w:val="0"/>
                <w:numId w:val="1"/>
              </w:numPr>
              <w:tabs>
                <w:tab w:val="clear" w:pos="4153"/>
                <w:tab w:val="clear" w:pos="8306"/>
              </w:tabs>
              <w:jc w:val="center"/>
              <w:rPr>
                <w:b/>
                <w:bCs/>
                <w:sz w:val="20"/>
                <w:szCs w:val="20"/>
              </w:rPr>
            </w:pPr>
          </w:p>
        </w:tc>
        <w:tc>
          <w:tcPr>
            <w:tcW w:w="7020" w:type="dxa"/>
            <w:vAlign w:val="center"/>
          </w:tcPr>
          <w:p w:rsidR="00DF64E0" w:rsidRPr="009C43F9" w:rsidRDefault="00DF64E0" w:rsidP="00DF64E0">
            <w:pPr>
              <w:rPr>
                <w:b/>
                <w:bCs/>
                <w:sz w:val="20"/>
                <w:szCs w:val="20"/>
              </w:rPr>
            </w:pPr>
            <w:r w:rsidRPr="009C43F9">
              <w:rPr>
                <w:b/>
                <w:bCs/>
                <w:sz w:val="20"/>
                <w:szCs w:val="20"/>
              </w:rPr>
              <w:t>Padaryta galimybė patogiai pajamuoti sąskait</w:t>
            </w:r>
            <w:r w:rsidRPr="009C43F9">
              <w:rPr>
                <w:b/>
                <w:bCs/>
                <w:sz w:val="20"/>
                <w:szCs w:val="20"/>
              </w:rPr>
              <w:t>a</w:t>
            </w:r>
            <w:r w:rsidRPr="009C43F9">
              <w:rPr>
                <w:b/>
                <w:bCs/>
                <w:sz w:val="20"/>
                <w:szCs w:val="20"/>
              </w:rPr>
              <w:t>s, kuriose yra kartu išrašytas atv</w:t>
            </w:r>
            <w:r w:rsidRPr="009C43F9">
              <w:rPr>
                <w:b/>
                <w:bCs/>
                <w:sz w:val="20"/>
                <w:szCs w:val="20"/>
              </w:rPr>
              <w:t>i</w:t>
            </w:r>
            <w:r w:rsidRPr="009C43F9">
              <w:rPr>
                <w:b/>
                <w:bCs/>
                <w:sz w:val="20"/>
                <w:szCs w:val="20"/>
              </w:rPr>
              <w:t>rkštinis PVM kurį moka pirkėjas su standartiniu PVM kurį moka pardavėjas.</w:t>
            </w:r>
          </w:p>
          <w:p w:rsidR="00DF64E0" w:rsidRPr="00DF64E0" w:rsidRDefault="00DF64E0" w:rsidP="00DF64E0">
            <w:pPr>
              <w:rPr>
                <w:sz w:val="20"/>
                <w:szCs w:val="20"/>
              </w:rPr>
            </w:pPr>
            <w:r w:rsidRPr="00DF64E0">
              <w:rPr>
                <w:sz w:val="20"/>
                <w:szCs w:val="20"/>
              </w:rPr>
              <w:t>Taip pat palengvintas ne PVM objekto sumos dalies įvertinimas</w:t>
            </w:r>
            <w:r>
              <w:rPr>
                <w:sz w:val="20"/>
                <w:szCs w:val="20"/>
              </w:rPr>
              <w:t xml:space="preserve"> pajamuojant</w:t>
            </w:r>
            <w:r w:rsidRPr="00DF64E0">
              <w:rPr>
                <w:sz w:val="20"/>
                <w:szCs w:val="20"/>
              </w:rPr>
              <w:t>.</w:t>
            </w:r>
          </w:p>
          <w:p w:rsidR="00DF64E0" w:rsidRPr="00DF64E0" w:rsidRDefault="00DF64E0" w:rsidP="00DF64E0">
            <w:pPr>
              <w:rPr>
                <w:sz w:val="20"/>
                <w:szCs w:val="20"/>
              </w:rPr>
            </w:pPr>
            <w:r w:rsidRPr="00DF64E0">
              <w:rPr>
                <w:sz w:val="20"/>
                <w:szCs w:val="20"/>
              </w:rPr>
              <w:t>Tam</w:t>
            </w:r>
          </w:p>
          <w:p w:rsidR="00DF64E0" w:rsidRPr="00DF64E0" w:rsidRDefault="00DF64E0" w:rsidP="001E1A9F">
            <w:pPr>
              <w:pStyle w:val="ListParagraph"/>
              <w:numPr>
                <w:ilvl w:val="0"/>
                <w:numId w:val="3"/>
              </w:numPr>
              <w:rPr>
                <w:sz w:val="20"/>
                <w:szCs w:val="20"/>
              </w:rPr>
            </w:pPr>
            <w:r w:rsidRPr="00DF64E0">
              <w:rPr>
                <w:sz w:val="20"/>
                <w:szCs w:val="20"/>
              </w:rPr>
              <w:t>Pirkimuose</w:t>
            </w:r>
          </w:p>
          <w:p w:rsidR="00DF64E0" w:rsidRPr="00DF64E0" w:rsidRDefault="00DF64E0" w:rsidP="001E1A9F">
            <w:pPr>
              <w:pStyle w:val="ListParagraph"/>
              <w:numPr>
                <w:ilvl w:val="0"/>
                <w:numId w:val="3"/>
              </w:numPr>
              <w:rPr>
                <w:sz w:val="20"/>
                <w:szCs w:val="20"/>
              </w:rPr>
            </w:pPr>
            <w:r w:rsidRPr="00DF64E0">
              <w:rPr>
                <w:sz w:val="20"/>
                <w:szCs w:val="20"/>
              </w:rPr>
              <w:t>IT pajamavi</w:t>
            </w:r>
            <w:r>
              <w:rPr>
                <w:sz w:val="20"/>
                <w:szCs w:val="20"/>
              </w:rPr>
              <w:t>m</w:t>
            </w:r>
            <w:r w:rsidRPr="00DF64E0">
              <w:rPr>
                <w:sz w:val="20"/>
                <w:szCs w:val="20"/>
              </w:rPr>
              <w:t>uose</w:t>
            </w:r>
          </w:p>
          <w:p w:rsidR="00DF64E0" w:rsidRPr="00DF64E0" w:rsidRDefault="00DF64E0" w:rsidP="001E1A9F">
            <w:pPr>
              <w:pStyle w:val="ListParagraph"/>
              <w:numPr>
                <w:ilvl w:val="0"/>
                <w:numId w:val="3"/>
              </w:numPr>
              <w:rPr>
                <w:sz w:val="20"/>
                <w:szCs w:val="20"/>
              </w:rPr>
            </w:pPr>
            <w:r w:rsidRPr="00DF64E0">
              <w:rPr>
                <w:sz w:val="20"/>
                <w:szCs w:val="20"/>
              </w:rPr>
              <w:t>IT vertės padidinimuose</w:t>
            </w:r>
          </w:p>
          <w:p w:rsidR="00DF64E0" w:rsidRPr="00DF64E0" w:rsidRDefault="00DF64E0" w:rsidP="00DF64E0">
            <w:pPr>
              <w:rPr>
                <w:sz w:val="20"/>
                <w:szCs w:val="20"/>
              </w:rPr>
            </w:pPr>
            <w:r w:rsidRPr="00DF64E0">
              <w:rPr>
                <w:sz w:val="20"/>
                <w:szCs w:val="20"/>
              </w:rPr>
              <w:t>Dokumento įvedimo formoje, kortelėje "2. Informacija PVM sąskaitų faktūrų registrui / Spec. PVM kontuotės" padaryta galimybė įvesti</w:t>
            </w:r>
          </w:p>
          <w:p w:rsidR="00DF64E0" w:rsidRPr="00DF64E0" w:rsidRDefault="00DF64E0" w:rsidP="001E1A9F">
            <w:pPr>
              <w:pStyle w:val="ListParagraph"/>
              <w:numPr>
                <w:ilvl w:val="0"/>
                <w:numId w:val="4"/>
              </w:numPr>
              <w:rPr>
                <w:sz w:val="20"/>
                <w:szCs w:val="20"/>
              </w:rPr>
            </w:pPr>
            <w:r w:rsidRPr="00DF64E0">
              <w:rPr>
                <w:sz w:val="20"/>
                <w:szCs w:val="20"/>
              </w:rPr>
              <w:t>Atvirkštinio PVM</w:t>
            </w:r>
          </w:p>
          <w:p w:rsidR="00DF64E0" w:rsidRPr="00DF64E0" w:rsidRDefault="00DF64E0" w:rsidP="001E1A9F">
            <w:pPr>
              <w:pStyle w:val="ListParagraph"/>
              <w:numPr>
                <w:ilvl w:val="0"/>
                <w:numId w:val="4"/>
              </w:numPr>
              <w:rPr>
                <w:sz w:val="20"/>
                <w:szCs w:val="20"/>
              </w:rPr>
            </w:pPr>
            <w:r w:rsidRPr="00DF64E0">
              <w:rPr>
                <w:sz w:val="20"/>
                <w:szCs w:val="20"/>
              </w:rPr>
              <w:t>Apmokestinamąją vertę</w:t>
            </w:r>
          </w:p>
          <w:p w:rsidR="00DF64E0" w:rsidRPr="00DF64E0" w:rsidRDefault="00DF64E0" w:rsidP="001E1A9F">
            <w:pPr>
              <w:pStyle w:val="ListParagraph"/>
              <w:numPr>
                <w:ilvl w:val="0"/>
                <w:numId w:val="4"/>
              </w:numPr>
              <w:rPr>
                <w:sz w:val="20"/>
                <w:szCs w:val="20"/>
              </w:rPr>
            </w:pPr>
            <w:r w:rsidRPr="00DF64E0">
              <w:rPr>
                <w:sz w:val="20"/>
                <w:szCs w:val="20"/>
              </w:rPr>
              <w:t>PVM sumą</w:t>
            </w:r>
          </w:p>
          <w:p w:rsidR="00DF64E0" w:rsidRPr="00DF64E0" w:rsidRDefault="00DF64E0" w:rsidP="001E1A9F">
            <w:pPr>
              <w:pStyle w:val="ListParagraph"/>
              <w:numPr>
                <w:ilvl w:val="0"/>
                <w:numId w:val="4"/>
              </w:numPr>
              <w:rPr>
                <w:sz w:val="20"/>
                <w:szCs w:val="20"/>
              </w:rPr>
            </w:pPr>
            <w:r w:rsidRPr="00DF64E0">
              <w:rPr>
                <w:sz w:val="20"/>
                <w:szCs w:val="20"/>
              </w:rPr>
              <w:t>Ne PVM objekto sumos dalį</w:t>
            </w:r>
          </w:p>
          <w:p w:rsidR="00D33CD8" w:rsidRPr="000D65DC" w:rsidRDefault="00DF64E0" w:rsidP="00DF64E0">
            <w:pPr>
              <w:rPr>
                <w:sz w:val="20"/>
                <w:szCs w:val="20"/>
              </w:rPr>
            </w:pPr>
            <w:r w:rsidRPr="00DF64E0">
              <w:rPr>
                <w:sz w:val="20"/>
                <w:szCs w:val="20"/>
              </w:rPr>
              <w:t>Ten įvedus ve</w:t>
            </w:r>
            <w:r>
              <w:rPr>
                <w:sz w:val="20"/>
                <w:szCs w:val="20"/>
              </w:rPr>
              <w:t>r</w:t>
            </w:r>
            <w:r w:rsidRPr="00DF64E0">
              <w:rPr>
                <w:sz w:val="20"/>
                <w:szCs w:val="20"/>
              </w:rPr>
              <w:t>tes nebereikės įvedinėti išimčių i.SAF registrui iš karto formuojamos teisingos PVM kontuotės.</w:t>
            </w:r>
          </w:p>
        </w:tc>
        <w:tc>
          <w:tcPr>
            <w:tcW w:w="1800" w:type="dxa"/>
            <w:vAlign w:val="center"/>
          </w:tcPr>
          <w:p w:rsidR="00D33CD8" w:rsidRDefault="007C1532" w:rsidP="0081708E">
            <w:pPr>
              <w:pStyle w:val="Header"/>
              <w:tabs>
                <w:tab w:val="clear" w:pos="4153"/>
                <w:tab w:val="clear" w:pos="8306"/>
              </w:tabs>
              <w:jc w:val="center"/>
              <w:rPr>
                <w:sz w:val="20"/>
                <w:szCs w:val="20"/>
              </w:rPr>
            </w:pPr>
            <w:r>
              <w:rPr>
                <w:sz w:val="20"/>
                <w:szCs w:val="20"/>
              </w:rPr>
              <w:t>PVM</w:t>
            </w:r>
          </w:p>
        </w:tc>
      </w:tr>
      <w:tr w:rsidR="006D6D2A" w:rsidRPr="001E24B6" w:rsidTr="007B5879">
        <w:trPr>
          <w:cantSplit/>
        </w:trPr>
        <w:tc>
          <w:tcPr>
            <w:tcW w:w="959" w:type="dxa"/>
            <w:vAlign w:val="center"/>
          </w:tcPr>
          <w:p w:rsidR="006D6D2A" w:rsidRPr="001E24B6" w:rsidRDefault="006D6D2A" w:rsidP="005367F1">
            <w:pPr>
              <w:pStyle w:val="Header"/>
              <w:numPr>
                <w:ilvl w:val="0"/>
                <w:numId w:val="1"/>
              </w:numPr>
              <w:tabs>
                <w:tab w:val="clear" w:pos="4153"/>
                <w:tab w:val="clear" w:pos="8306"/>
              </w:tabs>
              <w:jc w:val="center"/>
              <w:rPr>
                <w:b/>
                <w:bCs/>
                <w:sz w:val="20"/>
                <w:szCs w:val="20"/>
              </w:rPr>
            </w:pPr>
          </w:p>
        </w:tc>
        <w:tc>
          <w:tcPr>
            <w:tcW w:w="7020" w:type="dxa"/>
            <w:vAlign w:val="center"/>
          </w:tcPr>
          <w:p w:rsidR="002975DF" w:rsidRDefault="00DF64E0" w:rsidP="0025732E">
            <w:pPr>
              <w:rPr>
                <w:sz w:val="20"/>
                <w:szCs w:val="20"/>
              </w:rPr>
            </w:pPr>
            <w:r>
              <w:rPr>
                <w:sz w:val="20"/>
                <w:szCs w:val="20"/>
              </w:rPr>
              <w:t>Padaryta galimybė</w:t>
            </w:r>
          </w:p>
          <w:p w:rsidR="00DF64E0" w:rsidRPr="00B60308" w:rsidRDefault="00DF64E0" w:rsidP="001E1A9F">
            <w:pPr>
              <w:pStyle w:val="ListParagraph"/>
              <w:numPr>
                <w:ilvl w:val="0"/>
                <w:numId w:val="5"/>
              </w:numPr>
              <w:rPr>
                <w:sz w:val="20"/>
                <w:szCs w:val="20"/>
              </w:rPr>
            </w:pPr>
            <w:r w:rsidRPr="00B60308">
              <w:rPr>
                <w:sz w:val="20"/>
                <w:szCs w:val="20"/>
              </w:rPr>
              <w:t>Pardavimuose</w:t>
            </w:r>
          </w:p>
          <w:p w:rsidR="00DF64E0" w:rsidRDefault="00DF64E0" w:rsidP="001E1A9F">
            <w:pPr>
              <w:pStyle w:val="ListParagraph"/>
              <w:numPr>
                <w:ilvl w:val="0"/>
                <w:numId w:val="5"/>
              </w:numPr>
              <w:rPr>
                <w:sz w:val="20"/>
                <w:szCs w:val="20"/>
              </w:rPr>
            </w:pPr>
            <w:r w:rsidRPr="00B60308">
              <w:rPr>
                <w:sz w:val="20"/>
                <w:szCs w:val="20"/>
              </w:rPr>
              <w:t>Pirkėjų grąžinimuose</w:t>
            </w:r>
          </w:p>
          <w:p w:rsidR="00DF64E0" w:rsidRDefault="00DF64E0" w:rsidP="001E1A9F">
            <w:pPr>
              <w:pStyle w:val="ListParagraph"/>
              <w:numPr>
                <w:ilvl w:val="0"/>
                <w:numId w:val="5"/>
              </w:numPr>
              <w:rPr>
                <w:sz w:val="20"/>
                <w:szCs w:val="20"/>
              </w:rPr>
            </w:pPr>
            <w:r w:rsidRPr="00B60308">
              <w:rPr>
                <w:sz w:val="20"/>
                <w:szCs w:val="20"/>
              </w:rPr>
              <w:t>Patikslinančiose sąskaitose</w:t>
            </w:r>
          </w:p>
          <w:p w:rsidR="009C43F9" w:rsidRPr="009C43F9" w:rsidRDefault="009C43F9" w:rsidP="009C43F9">
            <w:pPr>
              <w:pStyle w:val="ListParagraph"/>
              <w:numPr>
                <w:ilvl w:val="0"/>
                <w:numId w:val="5"/>
              </w:numPr>
              <w:rPr>
                <w:sz w:val="20"/>
                <w:szCs w:val="20"/>
              </w:rPr>
            </w:pPr>
            <w:r>
              <w:rPr>
                <w:sz w:val="20"/>
                <w:szCs w:val="20"/>
              </w:rPr>
              <w:t>Grąžinimuose tiekėjams</w:t>
            </w:r>
          </w:p>
          <w:p w:rsidR="00DF64E0" w:rsidRPr="009C43F9" w:rsidRDefault="00DF64E0" w:rsidP="0025732E">
            <w:pPr>
              <w:rPr>
                <w:b/>
                <w:bCs/>
                <w:sz w:val="20"/>
                <w:szCs w:val="20"/>
              </w:rPr>
            </w:pPr>
            <w:r w:rsidRPr="009C43F9">
              <w:rPr>
                <w:b/>
                <w:bCs/>
                <w:sz w:val="20"/>
                <w:szCs w:val="20"/>
              </w:rPr>
              <w:t>Atvirkštinį PVM skaičiuoti individualiai kiekvienai prekei, arba pagal prekių tipą.</w:t>
            </w:r>
          </w:p>
          <w:p w:rsidR="00A25C92" w:rsidRPr="00D07F6B" w:rsidRDefault="00B60308" w:rsidP="00D07F6B">
            <w:pPr>
              <w:rPr>
                <w:sz w:val="20"/>
                <w:szCs w:val="20"/>
              </w:rPr>
            </w:pPr>
            <w:r>
              <w:rPr>
                <w:sz w:val="20"/>
                <w:szCs w:val="20"/>
              </w:rPr>
              <w:t>Tam padaryti sekantys pakeitimai</w:t>
            </w:r>
            <w:r w:rsidR="00D07F6B">
              <w:rPr>
                <w:sz w:val="20"/>
                <w:szCs w:val="20"/>
              </w:rPr>
              <w:t>:</w:t>
            </w:r>
          </w:p>
        </w:tc>
        <w:tc>
          <w:tcPr>
            <w:tcW w:w="1800" w:type="dxa"/>
            <w:vAlign w:val="center"/>
          </w:tcPr>
          <w:p w:rsidR="00D309F1" w:rsidRDefault="007C1532" w:rsidP="0081708E">
            <w:pPr>
              <w:pStyle w:val="Header"/>
              <w:tabs>
                <w:tab w:val="clear" w:pos="4153"/>
                <w:tab w:val="clear" w:pos="8306"/>
              </w:tabs>
              <w:jc w:val="center"/>
              <w:rPr>
                <w:sz w:val="20"/>
                <w:szCs w:val="20"/>
              </w:rPr>
            </w:pPr>
            <w:r>
              <w:rPr>
                <w:sz w:val="20"/>
                <w:szCs w:val="20"/>
              </w:rPr>
              <w:t>PVM</w:t>
            </w:r>
          </w:p>
        </w:tc>
      </w:tr>
      <w:tr w:rsidR="000345CB" w:rsidRPr="001E24B6" w:rsidTr="007B5879">
        <w:trPr>
          <w:cantSplit/>
        </w:trPr>
        <w:tc>
          <w:tcPr>
            <w:tcW w:w="959" w:type="dxa"/>
            <w:vAlign w:val="center"/>
          </w:tcPr>
          <w:p w:rsidR="000345CB" w:rsidRPr="001E24B6" w:rsidRDefault="000345CB" w:rsidP="00D07F6B">
            <w:pPr>
              <w:pStyle w:val="Header"/>
              <w:tabs>
                <w:tab w:val="clear" w:pos="4153"/>
                <w:tab w:val="clear" w:pos="8306"/>
              </w:tabs>
              <w:ind w:left="568"/>
              <w:jc w:val="center"/>
              <w:rPr>
                <w:b/>
                <w:bCs/>
                <w:sz w:val="20"/>
                <w:szCs w:val="20"/>
              </w:rPr>
            </w:pPr>
          </w:p>
        </w:tc>
        <w:tc>
          <w:tcPr>
            <w:tcW w:w="7020" w:type="dxa"/>
            <w:vAlign w:val="center"/>
          </w:tcPr>
          <w:p w:rsidR="00D07F6B" w:rsidRPr="00D07F6B" w:rsidRDefault="00D07F6B" w:rsidP="00D07F6B">
            <w:pPr>
              <w:ind w:left="568"/>
              <w:rPr>
                <w:sz w:val="20"/>
                <w:szCs w:val="20"/>
              </w:rPr>
            </w:pPr>
            <w:r w:rsidRPr="00D07F6B">
              <w:rPr>
                <w:sz w:val="20"/>
                <w:szCs w:val="20"/>
              </w:rPr>
              <w:t>Dokumentų įvedimo formose padarytas PVM skaičiavimo principo pasirinkimas su punktais:</w:t>
            </w:r>
          </w:p>
          <w:p w:rsidR="00D07F6B" w:rsidRDefault="00D07F6B" w:rsidP="00D07F6B">
            <w:pPr>
              <w:pStyle w:val="ListParagraph"/>
              <w:numPr>
                <w:ilvl w:val="1"/>
                <w:numId w:val="1"/>
              </w:numPr>
              <w:rPr>
                <w:sz w:val="20"/>
                <w:szCs w:val="20"/>
              </w:rPr>
            </w:pPr>
            <w:r w:rsidRPr="00B60308">
              <w:rPr>
                <w:sz w:val="20"/>
                <w:szCs w:val="20"/>
              </w:rPr>
              <w:t>Visam dokumentui tiesioginis PVM (moka pardavėjas), draudžiamas atvirkštinis PVM</w:t>
            </w:r>
          </w:p>
          <w:p w:rsidR="00D07F6B" w:rsidRDefault="00D07F6B" w:rsidP="00D07F6B">
            <w:pPr>
              <w:pStyle w:val="ListParagraph"/>
              <w:numPr>
                <w:ilvl w:val="1"/>
                <w:numId w:val="1"/>
              </w:numPr>
              <w:rPr>
                <w:sz w:val="20"/>
                <w:szCs w:val="20"/>
              </w:rPr>
            </w:pPr>
            <w:r w:rsidRPr="00B60308">
              <w:rPr>
                <w:sz w:val="20"/>
                <w:szCs w:val="20"/>
              </w:rPr>
              <w:t>Visam dokumentui atvirkštinis PVM (moka pirkėjas)</w:t>
            </w:r>
          </w:p>
          <w:p w:rsidR="00D07F6B" w:rsidRDefault="00D07F6B" w:rsidP="00D07F6B">
            <w:pPr>
              <w:pStyle w:val="ListParagraph"/>
              <w:numPr>
                <w:ilvl w:val="1"/>
                <w:numId w:val="1"/>
              </w:numPr>
              <w:rPr>
                <w:sz w:val="20"/>
                <w:szCs w:val="20"/>
              </w:rPr>
            </w:pPr>
            <w:r w:rsidRPr="00B60308">
              <w:rPr>
                <w:sz w:val="20"/>
                <w:szCs w:val="20"/>
              </w:rPr>
              <w:t>Atvirkštinis PVM automatiškai pagal prekių tipus</w:t>
            </w:r>
          </w:p>
          <w:p w:rsidR="00D07F6B" w:rsidRDefault="00D07F6B" w:rsidP="00D07F6B">
            <w:pPr>
              <w:pStyle w:val="ListParagraph"/>
              <w:numPr>
                <w:ilvl w:val="1"/>
                <w:numId w:val="1"/>
              </w:numPr>
              <w:rPr>
                <w:sz w:val="20"/>
                <w:szCs w:val="20"/>
              </w:rPr>
            </w:pPr>
            <w:r w:rsidRPr="00B60308">
              <w:rPr>
                <w:sz w:val="20"/>
                <w:szCs w:val="20"/>
              </w:rPr>
              <w:t>Šį skaičiavimo principą nusistatyti automatiškai pagal pirkėją (PVM mokėtojas ar ne) ir apmokėjimo pobūdį (kasos ap. ar ne)</w:t>
            </w:r>
          </w:p>
          <w:p w:rsidR="000345CB" w:rsidRPr="00FB0E1E" w:rsidRDefault="00D07F6B" w:rsidP="00D07F6B">
            <w:pPr>
              <w:ind w:left="720"/>
              <w:rPr>
                <w:sz w:val="20"/>
                <w:szCs w:val="20"/>
              </w:rPr>
            </w:pPr>
            <w:r>
              <w:rPr>
                <w:sz w:val="20"/>
                <w:szCs w:val="20"/>
              </w:rPr>
              <w:t>Kuriant naują dokumentą šis punktas nustatomas į nusistatyti automatiškai, tai reiškia, kad programa pati pasirinks vieną iš 3-jų punktų. Jei vėliau keisite pirkėją ar apmokėjimo pobūdį, tai nepamiškite perstatyti PVM skaičiavimo principo į teisingą reikšmę. Programa negali visada teisingai nusistatyti šio punkto, ji nežino ar pirkėjas yra valstybinė įstaiga, ar pirkėjui pradėta bankroto procedūra ir pan., todėl Jūs patys galite ir kartais privalote rankomis pakeisti šį parametrą.</w:t>
            </w:r>
          </w:p>
        </w:tc>
        <w:tc>
          <w:tcPr>
            <w:tcW w:w="1800" w:type="dxa"/>
            <w:vAlign w:val="center"/>
          </w:tcPr>
          <w:p w:rsidR="000345CB" w:rsidRDefault="000345CB" w:rsidP="000345CB">
            <w:pPr>
              <w:pStyle w:val="Header"/>
              <w:tabs>
                <w:tab w:val="clear" w:pos="4153"/>
                <w:tab w:val="clear" w:pos="8306"/>
              </w:tabs>
              <w:jc w:val="center"/>
              <w:rPr>
                <w:sz w:val="20"/>
                <w:szCs w:val="20"/>
              </w:rPr>
            </w:pPr>
          </w:p>
        </w:tc>
      </w:tr>
      <w:tr w:rsidR="00D07F6B" w:rsidRPr="001E24B6" w:rsidTr="007B5879">
        <w:trPr>
          <w:cantSplit/>
        </w:trPr>
        <w:tc>
          <w:tcPr>
            <w:tcW w:w="959" w:type="dxa"/>
            <w:vAlign w:val="center"/>
          </w:tcPr>
          <w:p w:rsidR="00D07F6B" w:rsidRPr="001E24B6" w:rsidRDefault="00D07F6B" w:rsidP="00D07F6B">
            <w:pPr>
              <w:pStyle w:val="Header"/>
              <w:tabs>
                <w:tab w:val="clear" w:pos="4153"/>
                <w:tab w:val="clear" w:pos="8306"/>
              </w:tabs>
              <w:ind w:left="568"/>
              <w:jc w:val="center"/>
              <w:rPr>
                <w:b/>
                <w:bCs/>
                <w:sz w:val="20"/>
                <w:szCs w:val="20"/>
              </w:rPr>
            </w:pPr>
          </w:p>
        </w:tc>
        <w:tc>
          <w:tcPr>
            <w:tcW w:w="7020" w:type="dxa"/>
            <w:vAlign w:val="center"/>
          </w:tcPr>
          <w:p w:rsidR="00D07F6B" w:rsidRPr="00D07F6B" w:rsidRDefault="00D07F6B" w:rsidP="00D07F6B">
            <w:pPr>
              <w:ind w:left="568"/>
              <w:rPr>
                <w:sz w:val="20"/>
                <w:szCs w:val="20"/>
              </w:rPr>
            </w:pPr>
            <w:r w:rsidRPr="00D07F6B">
              <w:rPr>
                <w:sz w:val="20"/>
                <w:szCs w:val="20"/>
              </w:rPr>
              <w:t>Prie prekių ir paslaugų tipų padarytas PVM principo pasirinkimas su punktais:</w:t>
            </w:r>
          </w:p>
          <w:p w:rsidR="00D07F6B" w:rsidRDefault="00D07F6B" w:rsidP="00D07F6B">
            <w:pPr>
              <w:pStyle w:val="ListParagraph"/>
              <w:numPr>
                <w:ilvl w:val="1"/>
                <w:numId w:val="1"/>
              </w:numPr>
              <w:rPr>
                <w:sz w:val="20"/>
                <w:szCs w:val="20"/>
              </w:rPr>
            </w:pPr>
            <w:r w:rsidRPr="009C43F9">
              <w:rPr>
                <w:sz w:val="20"/>
                <w:szCs w:val="20"/>
              </w:rPr>
              <w:t>Standartinis PVM moka pardavėjas</w:t>
            </w:r>
          </w:p>
          <w:p w:rsidR="00D07F6B" w:rsidRDefault="00D07F6B" w:rsidP="00D07F6B">
            <w:pPr>
              <w:pStyle w:val="ListParagraph"/>
              <w:numPr>
                <w:ilvl w:val="1"/>
                <w:numId w:val="1"/>
              </w:numPr>
              <w:rPr>
                <w:sz w:val="20"/>
                <w:szCs w:val="20"/>
              </w:rPr>
            </w:pPr>
            <w:r w:rsidRPr="009C43F9">
              <w:rPr>
                <w:sz w:val="20"/>
                <w:szCs w:val="20"/>
              </w:rPr>
              <w:t>Atvirkštinis PVM moka pirkėjas</w:t>
            </w:r>
          </w:p>
          <w:p w:rsidR="00D07F6B" w:rsidRPr="00D07F6B" w:rsidRDefault="00D07F6B" w:rsidP="00D07F6B">
            <w:pPr>
              <w:pStyle w:val="ListParagraph"/>
              <w:numPr>
                <w:ilvl w:val="1"/>
                <w:numId w:val="1"/>
              </w:numPr>
              <w:rPr>
                <w:sz w:val="20"/>
                <w:szCs w:val="20"/>
              </w:rPr>
            </w:pPr>
            <w:r w:rsidRPr="009C43F9">
              <w:rPr>
                <w:sz w:val="20"/>
                <w:szCs w:val="20"/>
              </w:rPr>
              <w:t>Ne PVM objektas</w:t>
            </w:r>
          </w:p>
        </w:tc>
        <w:tc>
          <w:tcPr>
            <w:tcW w:w="1800" w:type="dxa"/>
            <w:vAlign w:val="center"/>
          </w:tcPr>
          <w:p w:rsidR="00D07F6B" w:rsidRDefault="00D07F6B" w:rsidP="000345CB">
            <w:pPr>
              <w:pStyle w:val="Header"/>
              <w:tabs>
                <w:tab w:val="clear" w:pos="4153"/>
                <w:tab w:val="clear" w:pos="8306"/>
              </w:tabs>
              <w:jc w:val="center"/>
              <w:rPr>
                <w:sz w:val="20"/>
                <w:szCs w:val="20"/>
              </w:rPr>
            </w:pPr>
          </w:p>
        </w:tc>
      </w:tr>
      <w:tr w:rsidR="00D07F6B" w:rsidRPr="001E24B6" w:rsidTr="007B5879">
        <w:trPr>
          <w:cantSplit/>
        </w:trPr>
        <w:tc>
          <w:tcPr>
            <w:tcW w:w="959" w:type="dxa"/>
            <w:vAlign w:val="center"/>
          </w:tcPr>
          <w:p w:rsidR="00D07F6B" w:rsidRPr="001E24B6" w:rsidRDefault="00D07F6B" w:rsidP="00D07F6B">
            <w:pPr>
              <w:pStyle w:val="Header"/>
              <w:tabs>
                <w:tab w:val="clear" w:pos="4153"/>
                <w:tab w:val="clear" w:pos="8306"/>
              </w:tabs>
              <w:ind w:left="568"/>
              <w:jc w:val="center"/>
              <w:rPr>
                <w:b/>
                <w:bCs/>
                <w:sz w:val="20"/>
                <w:szCs w:val="20"/>
              </w:rPr>
            </w:pPr>
          </w:p>
        </w:tc>
        <w:tc>
          <w:tcPr>
            <w:tcW w:w="7020" w:type="dxa"/>
            <w:vAlign w:val="center"/>
          </w:tcPr>
          <w:p w:rsidR="00D07F6B" w:rsidRPr="00D07F6B" w:rsidRDefault="00D07F6B" w:rsidP="00D07F6B">
            <w:pPr>
              <w:ind w:left="568"/>
              <w:rPr>
                <w:sz w:val="20"/>
                <w:szCs w:val="20"/>
              </w:rPr>
            </w:pPr>
            <w:r w:rsidRPr="00D07F6B">
              <w:rPr>
                <w:sz w:val="20"/>
                <w:szCs w:val="20"/>
              </w:rPr>
              <w:t>Pardavimo PVM priskaičiuojančių dokumentų (pardavimai, grąžinimai,...) turinio prekių redagavimo formose padaryti pakeitimai:</w:t>
            </w:r>
          </w:p>
          <w:p w:rsidR="00D07F6B" w:rsidRDefault="00D07F6B" w:rsidP="00D07F6B">
            <w:pPr>
              <w:pStyle w:val="ListParagraph"/>
              <w:numPr>
                <w:ilvl w:val="1"/>
                <w:numId w:val="1"/>
              </w:numPr>
              <w:rPr>
                <w:sz w:val="20"/>
                <w:szCs w:val="20"/>
              </w:rPr>
            </w:pPr>
            <w:r>
              <w:rPr>
                <w:sz w:val="20"/>
                <w:szCs w:val="20"/>
              </w:rPr>
              <w:t xml:space="preserve">Sukurta atskira kortelė „Tabas“ </w:t>
            </w:r>
            <w:r w:rsidRPr="00B232BA">
              <w:rPr>
                <w:sz w:val="20"/>
                <w:szCs w:val="20"/>
              </w:rPr>
              <w:t>Individualūs PVM nustatymai</w:t>
            </w:r>
          </w:p>
          <w:p w:rsidR="00D07F6B" w:rsidRDefault="00D07F6B" w:rsidP="00D07F6B">
            <w:pPr>
              <w:pStyle w:val="ListParagraph"/>
              <w:numPr>
                <w:ilvl w:val="1"/>
                <w:numId w:val="1"/>
              </w:numPr>
              <w:rPr>
                <w:sz w:val="20"/>
                <w:szCs w:val="20"/>
              </w:rPr>
            </w:pPr>
            <w:r>
              <w:rPr>
                <w:sz w:val="20"/>
                <w:szCs w:val="20"/>
              </w:rPr>
              <w:t>Jame įjungus „</w:t>
            </w:r>
            <w:r w:rsidRPr="00B232BA">
              <w:rPr>
                <w:sz w:val="20"/>
                <w:szCs w:val="20"/>
              </w:rPr>
              <w:t>Šiai eilutei taikyti nestandartinį individualų PVM procentą</w:t>
            </w:r>
            <w:r>
              <w:rPr>
                <w:sz w:val="20"/>
                <w:szCs w:val="20"/>
              </w:rPr>
              <w:t>“ galima nurodyti kitokį PVM procentą ir PVM skaičiavimo principą, pasirankamą iš:</w:t>
            </w:r>
          </w:p>
          <w:p w:rsidR="00D07F6B" w:rsidRDefault="00D07F6B" w:rsidP="00D07F6B">
            <w:pPr>
              <w:pStyle w:val="ListParagraph"/>
              <w:numPr>
                <w:ilvl w:val="2"/>
                <w:numId w:val="1"/>
              </w:numPr>
              <w:rPr>
                <w:sz w:val="20"/>
                <w:szCs w:val="20"/>
              </w:rPr>
            </w:pPr>
            <w:r w:rsidRPr="00B232BA">
              <w:rPr>
                <w:sz w:val="20"/>
                <w:szCs w:val="20"/>
              </w:rPr>
              <w:t>Standartinis PVM moka pardavėjas</w:t>
            </w:r>
          </w:p>
          <w:p w:rsidR="00D07F6B" w:rsidRDefault="00D07F6B" w:rsidP="00D07F6B">
            <w:pPr>
              <w:pStyle w:val="ListParagraph"/>
              <w:numPr>
                <w:ilvl w:val="2"/>
                <w:numId w:val="1"/>
              </w:numPr>
              <w:rPr>
                <w:sz w:val="20"/>
                <w:szCs w:val="20"/>
              </w:rPr>
            </w:pPr>
            <w:r w:rsidRPr="00B232BA">
              <w:rPr>
                <w:sz w:val="20"/>
                <w:szCs w:val="20"/>
              </w:rPr>
              <w:t>Atvirkštinis PVM moka pirkėjas</w:t>
            </w:r>
          </w:p>
          <w:p w:rsidR="00D07F6B" w:rsidRDefault="00D07F6B" w:rsidP="00D07F6B">
            <w:pPr>
              <w:pStyle w:val="ListParagraph"/>
              <w:numPr>
                <w:ilvl w:val="2"/>
                <w:numId w:val="1"/>
              </w:numPr>
              <w:rPr>
                <w:sz w:val="20"/>
                <w:szCs w:val="20"/>
              </w:rPr>
            </w:pPr>
            <w:r w:rsidRPr="00A86285">
              <w:rPr>
                <w:sz w:val="20"/>
                <w:szCs w:val="20"/>
              </w:rPr>
              <w:t>Ne PVM objektas</w:t>
            </w:r>
          </w:p>
          <w:p w:rsidR="00D07F6B" w:rsidRDefault="00D07F6B" w:rsidP="00D07F6B">
            <w:pPr>
              <w:ind w:left="1440"/>
              <w:rPr>
                <w:sz w:val="20"/>
                <w:szCs w:val="20"/>
              </w:rPr>
            </w:pPr>
            <w:r>
              <w:rPr>
                <w:sz w:val="20"/>
                <w:szCs w:val="20"/>
              </w:rPr>
              <w:t>Pasirinkus atvirkštinį PVM arba ne PVM objektą, programa pasiūlys ir PVM mokesčio kodą, bet perjungus atgal į standartinį PVM, PVM mokesčio kodą nuvalyti ar nustatyti į teisingą reikšmę turėsite patys.</w:t>
            </w:r>
          </w:p>
          <w:p w:rsidR="00D07F6B" w:rsidRPr="00D07F6B" w:rsidRDefault="00D07F6B" w:rsidP="00D07F6B">
            <w:pPr>
              <w:ind w:left="568"/>
              <w:rPr>
                <w:sz w:val="20"/>
                <w:szCs w:val="20"/>
              </w:rPr>
            </w:pPr>
          </w:p>
        </w:tc>
        <w:tc>
          <w:tcPr>
            <w:tcW w:w="1800" w:type="dxa"/>
            <w:vAlign w:val="center"/>
          </w:tcPr>
          <w:p w:rsidR="00D07F6B" w:rsidRDefault="00D07F6B" w:rsidP="000345CB">
            <w:pPr>
              <w:pStyle w:val="Header"/>
              <w:tabs>
                <w:tab w:val="clear" w:pos="4153"/>
                <w:tab w:val="clear" w:pos="8306"/>
              </w:tabs>
              <w:jc w:val="center"/>
              <w:rPr>
                <w:sz w:val="20"/>
                <w:szCs w:val="20"/>
              </w:rPr>
            </w:pPr>
          </w:p>
        </w:tc>
      </w:tr>
      <w:tr w:rsidR="00D07F6B" w:rsidRPr="001E24B6" w:rsidTr="007B5879">
        <w:trPr>
          <w:cantSplit/>
        </w:trPr>
        <w:tc>
          <w:tcPr>
            <w:tcW w:w="959" w:type="dxa"/>
            <w:vAlign w:val="center"/>
          </w:tcPr>
          <w:p w:rsidR="00D07F6B" w:rsidRPr="001E24B6" w:rsidRDefault="00D07F6B" w:rsidP="00D07F6B">
            <w:pPr>
              <w:pStyle w:val="Header"/>
              <w:tabs>
                <w:tab w:val="clear" w:pos="4153"/>
                <w:tab w:val="clear" w:pos="8306"/>
              </w:tabs>
              <w:ind w:left="568"/>
              <w:jc w:val="center"/>
              <w:rPr>
                <w:b/>
                <w:bCs/>
                <w:sz w:val="20"/>
                <w:szCs w:val="20"/>
              </w:rPr>
            </w:pPr>
          </w:p>
        </w:tc>
        <w:tc>
          <w:tcPr>
            <w:tcW w:w="7020" w:type="dxa"/>
            <w:vAlign w:val="center"/>
          </w:tcPr>
          <w:p w:rsidR="00D07F6B" w:rsidRDefault="00D07F6B" w:rsidP="00D07F6B">
            <w:pPr>
              <w:pStyle w:val="ListParagraph"/>
              <w:numPr>
                <w:ilvl w:val="0"/>
                <w:numId w:val="1"/>
              </w:numPr>
              <w:rPr>
                <w:sz w:val="20"/>
                <w:szCs w:val="20"/>
              </w:rPr>
            </w:pPr>
            <w:r>
              <w:rPr>
                <w:sz w:val="20"/>
                <w:szCs w:val="20"/>
              </w:rPr>
              <w:t>Visuose sąskaitų spausdinimuose:</w:t>
            </w:r>
          </w:p>
          <w:p w:rsidR="00D07F6B" w:rsidRDefault="00D07F6B" w:rsidP="00D07F6B">
            <w:pPr>
              <w:pStyle w:val="ListParagraph"/>
              <w:numPr>
                <w:ilvl w:val="1"/>
                <w:numId w:val="1"/>
              </w:numPr>
              <w:rPr>
                <w:sz w:val="20"/>
                <w:szCs w:val="20"/>
              </w:rPr>
            </w:pPr>
            <w:r>
              <w:rPr>
                <w:sz w:val="20"/>
                <w:szCs w:val="20"/>
              </w:rPr>
              <w:t>Pardavimų PVM sąskaitos</w:t>
            </w:r>
          </w:p>
          <w:p w:rsidR="00D07F6B" w:rsidRDefault="00D07F6B" w:rsidP="00D07F6B">
            <w:pPr>
              <w:pStyle w:val="ListParagraph"/>
              <w:numPr>
                <w:ilvl w:val="1"/>
                <w:numId w:val="1"/>
              </w:numPr>
              <w:rPr>
                <w:sz w:val="20"/>
                <w:szCs w:val="20"/>
              </w:rPr>
            </w:pPr>
            <w:r>
              <w:rPr>
                <w:sz w:val="20"/>
                <w:szCs w:val="20"/>
              </w:rPr>
              <w:t>Kreditinės PVM sąskaitos</w:t>
            </w:r>
          </w:p>
          <w:p w:rsidR="00D07F6B" w:rsidRDefault="00D07F6B" w:rsidP="00D07F6B">
            <w:pPr>
              <w:pStyle w:val="ListParagraph"/>
              <w:numPr>
                <w:ilvl w:val="1"/>
                <w:numId w:val="1"/>
              </w:numPr>
              <w:rPr>
                <w:sz w:val="20"/>
                <w:szCs w:val="20"/>
              </w:rPr>
            </w:pPr>
            <w:r>
              <w:rPr>
                <w:sz w:val="20"/>
                <w:szCs w:val="20"/>
              </w:rPr>
              <w:t>Debetinės PVM sąskaitos</w:t>
            </w:r>
          </w:p>
          <w:p w:rsidR="00D07F6B" w:rsidRDefault="00D07F6B" w:rsidP="00D07F6B">
            <w:pPr>
              <w:ind w:left="720"/>
              <w:rPr>
                <w:sz w:val="20"/>
                <w:szCs w:val="20"/>
              </w:rPr>
            </w:pPr>
            <w:r>
              <w:rPr>
                <w:sz w:val="20"/>
                <w:szCs w:val="20"/>
              </w:rPr>
              <w:t>Padaryta galimybė spausdinti Atvirkštinį PVM, kurį moka pirkėjas, kartu su standartiniu PVM, kurį moka pardavėjas.</w:t>
            </w:r>
          </w:p>
          <w:p w:rsidR="00D07F6B" w:rsidRPr="00D07F6B" w:rsidRDefault="00D07F6B" w:rsidP="00D07F6B">
            <w:pPr>
              <w:ind w:left="720"/>
              <w:rPr>
                <w:b/>
                <w:bCs/>
                <w:sz w:val="20"/>
                <w:szCs w:val="20"/>
              </w:rPr>
            </w:pPr>
            <w:r w:rsidRPr="00A25C92">
              <w:rPr>
                <w:b/>
                <w:bCs/>
                <w:color w:val="FF0000"/>
                <w:sz w:val="20"/>
                <w:szCs w:val="20"/>
              </w:rPr>
              <w:t>Tai galioja tik standartiniams sąskaitų spausdinimams, jei Jūs anksčiau, iki šito pakeitimo, buvote susikūrę savo PVM sąskaitų spausdinimo formas, tada jose visa tai neveiks !!!</w:t>
            </w:r>
          </w:p>
        </w:tc>
        <w:tc>
          <w:tcPr>
            <w:tcW w:w="1800" w:type="dxa"/>
            <w:vAlign w:val="center"/>
          </w:tcPr>
          <w:p w:rsidR="00D07F6B" w:rsidRDefault="00D07F6B" w:rsidP="000345CB">
            <w:pPr>
              <w:pStyle w:val="Header"/>
              <w:tabs>
                <w:tab w:val="clear" w:pos="4153"/>
                <w:tab w:val="clear" w:pos="8306"/>
              </w:tabs>
              <w:jc w:val="center"/>
              <w:rPr>
                <w:sz w:val="20"/>
                <w:szCs w:val="20"/>
              </w:rPr>
            </w:pPr>
          </w:p>
        </w:tc>
      </w:tr>
      <w:tr w:rsidR="00D07F6B" w:rsidRPr="001E24B6" w:rsidTr="007B5879">
        <w:trPr>
          <w:cantSplit/>
        </w:trPr>
        <w:tc>
          <w:tcPr>
            <w:tcW w:w="959" w:type="dxa"/>
            <w:vAlign w:val="center"/>
          </w:tcPr>
          <w:p w:rsidR="00D07F6B" w:rsidRPr="001E24B6" w:rsidRDefault="00D07F6B" w:rsidP="00D07F6B">
            <w:pPr>
              <w:pStyle w:val="Header"/>
              <w:tabs>
                <w:tab w:val="clear" w:pos="4153"/>
                <w:tab w:val="clear" w:pos="8306"/>
              </w:tabs>
              <w:ind w:left="568"/>
              <w:jc w:val="center"/>
              <w:rPr>
                <w:b/>
                <w:bCs/>
                <w:sz w:val="20"/>
                <w:szCs w:val="20"/>
              </w:rPr>
            </w:pPr>
          </w:p>
        </w:tc>
        <w:tc>
          <w:tcPr>
            <w:tcW w:w="7020" w:type="dxa"/>
            <w:vAlign w:val="center"/>
          </w:tcPr>
          <w:p w:rsidR="00D07F6B" w:rsidRPr="00D07F6B" w:rsidRDefault="00D07F6B" w:rsidP="00D07F6B">
            <w:pPr>
              <w:ind w:left="568"/>
              <w:rPr>
                <w:sz w:val="20"/>
                <w:szCs w:val="20"/>
              </w:rPr>
            </w:pPr>
            <w:r>
              <w:rPr>
                <w:sz w:val="20"/>
                <w:szCs w:val="20"/>
              </w:rPr>
              <w:t xml:space="preserve">Iki šito pakeitimo parduodant su atvirkštiniu PVM nebuvo daromos jokios buhalterinės kontuotės atvirkštinio PVM sumai. Dabar sistemos konfigūracijoje, </w:t>
            </w:r>
            <w:r w:rsidRPr="00A25C92">
              <w:rPr>
                <w:sz w:val="20"/>
                <w:szCs w:val="20"/>
              </w:rPr>
              <w:t>Buhalterinių sąskaitų konfigūracijos parametrai</w:t>
            </w:r>
            <w:r>
              <w:rPr>
                <w:sz w:val="20"/>
                <w:szCs w:val="20"/>
              </w:rPr>
              <w:t xml:space="preserve"> / </w:t>
            </w:r>
            <w:r w:rsidRPr="00A25C92">
              <w:rPr>
                <w:sz w:val="20"/>
                <w:szCs w:val="20"/>
              </w:rPr>
              <w:t>PVM apskaitos buhalterinės sąskaitos</w:t>
            </w:r>
            <w:r>
              <w:rPr>
                <w:sz w:val="20"/>
                <w:szCs w:val="20"/>
              </w:rPr>
              <w:t xml:space="preserve"> / Pardavimai nurodžius „</w:t>
            </w:r>
            <w:r w:rsidRPr="00A25C92">
              <w:rPr>
                <w:sz w:val="20"/>
                <w:szCs w:val="20"/>
              </w:rPr>
              <w:t>Atvirkštinis PVM, moka pirkėjas (D)</w:t>
            </w:r>
            <w:r>
              <w:rPr>
                <w:sz w:val="20"/>
                <w:szCs w:val="20"/>
              </w:rPr>
              <w:t>“ ir „</w:t>
            </w:r>
            <w:r w:rsidRPr="00A25C92">
              <w:rPr>
                <w:sz w:val="20"/>
                <w:szCs w:val="20"/>
              </w:rPr>
              <w:t>Atvirkštinis PVM, moka pirkėjas (K)</w:t>
            </w:r>
            <w:r>
              <w:rPr>
                <w:sz w:val="20"/>
                <w:szCs w:val="20"/>
              </w:rPr>
              <w:t>“ sąskaitas jos bus daromos.</w:t>
            </w:r>
          </w:p>
        </w:tc>
        <w:tc>
          <w:tcPr>
            <w:tcW w:w="1800" w:type="dxa"/>
            <w:vAlign w:val="center"/>
          </w:tcPr>
          <w:p w:rsidR="00D07F6B" w:rsidRDefault="00D07F6B" w:rsidP="000345CB">
            <w:pPr>
              <w:pStyle w:val="Header"/>
              <w:tabs>
                <w:tab w:val="clear" w:pos="4153"/>
                <w:tab w:val="clear" w:pos="8306"/>
              </w:tabs>
              <w:jc w:val="center"/>
              <w:rPr>
                <w:sz w:val="20"/>
                <w:szCs w:val="20"/>
              </w:rPr>
            </w:pPr>
          </w:p>
        </w:tc>
      </w:tr>
      <w:tr w:rsidR="00D07F6B" w:rsidRPr="001E24B6" w:rsidTr="007B5879">
        <w:trPr>
          <w:cantSplit/>
        </w:trPr>
        <w:tc>
          <w:tcPr>
            <w:tcW w:w="959" w:type="dxa"/>
            <w:vAlign w:val="center"/>
          </w:tcPr>
          <w:p w:rsidR="00D07F6B" w:rsidRPr="001E24B6" w:rsidRDefault="00D07F6B" w:rsidP="000345CB">
            <w:pPr>
              <w:pStyle w:val="Header"/>
              <w:numPr>
                <w:ilvl w:val="0"/>
                <w:numId w:val="1"/>
              </w:numPr>
              <w:tabs>
                <w:tab w:val="clear" w:pos="4153"/>
                <w:tab w:val="clear" w:pos="8306"/>
              </w:tabs>
              <w:jc w:val="center"/>
              <w:rPr>
                <w:b/>
                <w:bCs/>
                <w:sz w:val="20"/>
                <w:szCs w:val="20"/>
              </w:rPr>
            </w:pPr>
          </w:p>
        </w:tc>
        <w:tc>
          <w:tcPr>
            <w:tcW w:w="7020" w:type="dxa"/>
            <w:vAlign w:val="center"/>
          </w:tcPr>
          <w:p w:rsidR="00D07F6B" w:rsidRPr="00D07F6B" w:rsidRDefault="007C1532" w:rsidP="007C1532">
            <w:pPr>
              <w:rPr>
                <w:sz w:val="20"/>
                <w:szCs w:val="20"/>
              </w:rPr>
            </w:pPr>
            <w:r w:rsidRPr="007C1532">
              <w:rPr>
                <w:sz w:val="20"/>
                <w:szCs w:val="20"/>
              </w:rPr>
              <w:t>Nurašymų kompleksinėje suvestinėje padaryta papildomas pasirenkamas stulpelis "Dokumento komentarai"</w:t>
            </w:r>
          </w:p>
        </w:tc>
        <w:tc>
          <w:tcPr>
            <w:tcW w:w="1800" w:type="dxa"/>
            <w:vAlign w:val="center"/>
          </w:tcPr>
          <w:p w:rsidR="00D07F6B" w:rsidRDefault="006F7D7C" w:rsidP="000345CB">
            <w:pPr>
              <w:pStyle w:val="Header"/>
              <w:tabs>
                <w:tab w:val="clear" w:pos="4153"/>
                <w:tab w:val="clear" w:pos="8306"/>
              </w:tabs>
              <w:jc w:val="center"/>
              <w:rPr>
                <w:sz w:val="20"/>
                <w:szCs w:val="20"/>
              </w:rPr>
            </w:pPr>
            <w:r>
              <w:rPr>
                <w:sz w:val="20"/>
                <w:szCs w:val="20"/>
              </w:rPr>
              <w:t>Suvestinės</w:t>
            </w:r>
          </w:p>
        </w:tc>
      </w:tr>
      <w:tr w:rsidR="00D07F6B" w:rsidRPr="001E24B6" w:rsidTr="007B5879">
        <w:trPr>
          <w:cantSplit/>
        </w:trPr>
        <w:tc>
          <w:tcPr>
            <w:tcW w:w="959" w:type="dxa"/>
            <w:vAlign w:val="center"/>
          </w:tcPr>
          <w:p w:rsidR="00D07F6B" w:rsidRPr="001E24B6" w:rsidRDefault="00D07F6B" w:rsidP="000345CB">
            <w:pPr>
              <w:pStyle w:val="Header"/>
              <w:numPr>
                <w:ilvl w:val="0"/>
                <w:numId w:val="1"/>
              </w:numPr>
              <w:tabs>
                <w:tab w:val="clear" w:pos="4153"/>
                <w:tab w:val="clear" w:pos="8306"/>
              </w:tabs>
              <w:jc w:val="center"/>
              <w:rPr>
                <w:b/>
                <w:bCs/>
                <w:sz w:val="20"/>
                <w:szCs w:val="20"/>
              </w:rPr>
            </w:pPr>
          </w:p>
        </w:tc>
        <w:tc>
          <w:tcPr>
            <w:tcW w:w="7020" w:type="dxa"/>
            <w:vAlign w:val="center"/>
          </w:tcPr>
          <w:p w:rsidR="006F7D7C" w:rsidRPr="006F7D7C" w:rsidRDefault="006F7D7C" w:rsidP="006F7D7C">
            <w:pPr>
              <w:rPr>
                <w:sz w:val="20"/>
                <w:szCs w:val="20"/>
              </w:rPr>
            </w:pPr>
            <w:r w:rsidRPr="006F7D7C">
              <w:rPr>
                <w:sz w:val="20"/>
                <w:szCs w:val="20"/>
              </w:rPr>
              <w:t>Si</w:t>
            </w:r>
            <w:r>
              <w:rPr>
                <w:sz w:val="20"/>
                <w:szCs w:val="20"/>
              </w:rPr>
              <w:t>u</w:t>
            </w:r>
            <w:r w:rsidRPr="006F7D7C">
              <w:rPr>
                <w:sz w:val="20"/>
                <w:szCs w:val="20"/>
              </w:rPr>
              <w:t xml:space="preserve">nčiant pardavimo dokumentą į SIS EDI padarytas dokumento tipo </w:t>
            </w:r>
            <w:r w:rsidRPr="006F7D7C">
              <w:rPr>
                <w:sz w:val="20"/>
                <w:szCs w:val="20"/>
              </w:rPr>
              <w:t>pasirinkimas</w:t>
            </w:r>
            <w:r w:rsidRPr="006F7D7C">
              <w:rPr>
                <w:sz w:val="20"/>
                <w:szCs w:val="20"/>
              </w:rPr>
              <w:t xml:space="preserve"> </w:t>
            </w:r>
          </w:p>
          <w:p w:rsidR="006F7D7C" w:rsidRPr="006F7D7C" w:rsidRDefault="006F7D7C" w:rsidP="006F7D7C">
            <w:pPr>
              <w:pStyle w:val="ListParagraph"/>
              <w:numPr>
                <w:ilvl w:val="0"/>
                <w:numId w:val="9"/>
              </w:numPr>
              <w:rPr>
                <w:sz w:val="20"/>
                <w:szCs w:val="20"/>
              </w:rPr>
            </w:pPr>
            <w:r w:rsidRPr="006F7D7C">
              <w:rPr>
                <w:sz w:val="20"/>
                <w:szCs w:val="20"/>
              </w:rPr>
              <w:t>Sąskaita faktūra</w:t>
            </w:r>
          </w:p>
          <w:p w:rsidR="006F7D7C" w:rsidRPr="006F7D7C" w:rsidRDefault="006F7D7C" w:rsidP="006F7D7C">
            <w:pPr>
              <w:pStyle w:val="ListParagraph"/>
              <w:numPr>
                <w:ilvl w:val="0"/>
                <w:numId w:val="9"/>
              </w:numPr>
              <w:rPr>
                <w:sz w:val="20"/>
                <w:szCs w:val="20"/>
              </w:rPr>
            </w:pPr>
            <w:r w:rsidRPr="006F7D7C">
              <w:rPr>
                <w:sz w:val="20"/>
                <w:szCs w:val="20"/>
              </w:rPr>
              <w:t>Važtaraštis</w:t>
            </w:r>
          </w:p>
          <w:p w:rsidR="00D07F6B" w:rsidRPr="00D07F6B" w:rsidRDefault="006F7D7C" w:rsidP="006F7D7C">
            <w:pPr>
              <w:rPr>
                <w:sz w:val="20"/>
                <w:szCs w:val="20"/>
              </w:rPr>
            </w:pPr>
            <w:r w:rsidRPr="006F7D7C">
              <w:rPr>
                <w:sz w:val="20"/>
                <w:szCs w:val="20"/>
              </w:rPr>
              <w:t>Taip pat prie pirkėjo padarytas analogiškas standartiškai siūlomo dokumento tipo pasirinkimas</w:t>
            </w:r>
          </w:p>
        </w:tc>
        <w:tc>
          <w:tcPr>
            <w:tcW w:w="1800" w:type="dxa"/>
            <w:vAlign w:val="center"/>
          </w:tcPr>
          <w:p w:rsidR="00D07F6B" w:rsidRDefault="006F7D7C" w:rsidP="000345CB">
            <w:pPr>
              <w:pStyle w:val="Header"/>
              <w:tabs>
                <w:tab w:val="clear" w:pos="4153"/>
                <w:tab w:val="clear" w:pos="8306"/>
              </w:tabs>
              <w:jc w:val="center"/>
              <w:rPr>
                <w:sz w:val="20"/>
                <w:szCs w:val="20"/>
              </w:rPr>
            </w:pPr>
            <w:r>
              <w:rPr>
                <w:sz w:val="20"/>
                <w:szCs w:val="20"/>
              </w:rPr>
              <w:t>Integracijos</w:t>
            </w:r>
          </w:p>
        </w:tc>
      </w:tr>
      <w:tr w:rsidR="00D07F6B" w:rsidRPr="001E24B6" w:rsidTr="007B5879">
        <w:trPr>
          <w:cantSplit/>
        </w:trPr>
        <w:tc>
          <w:tcPr>
            <w:tcW w:w="959" w:type="dxa"/>
            <w:vAlign w:val="center"/>
          </w:tcPr>
          <w:p w:rsidR="00D07F6B" w:rsidRPr="001E24B6" w:rsidRDefault="00D07F6B" w:rsidP="000345CB">
            <w:pPr>
              <w:pStyle w:val="Header"/>
              <w:numPr>
                <w:ilvl w:val="0"/>
                <w:numId w:val="1"/>
              </w:numPr>
              <w:tabs>
                <w:tab w:val="clear" w:pos="4153"/>
                <w:tab w:val="clear" w:pos="8306"/>
              </w:tabs>
              <w:jc w:val="center"/>
              <w:rPr>
                <w:b/>
                <w:bCs/>
                <w:sz w:val="20"/>
                <w:szCs w:val="20"/>
              </w:rPr>
            </w:pPr>
          </w:p>
        </w:tc>
        <w:tc>
          <w:tcPr>
            <w:tcW w:w="7020" w:type="dxa"/>
            <w:vAlign w:val="center"/>
          </w:tcPr>
          <w:p w:rsidR="006F7D7C" w:rsidRPr="006F7D7C" w:rsidRDefault="006F7D7C" w:rsidP="006F7D7C">
            <w:pPr>
              <w:pStyle w:val="ListParagraph"/>
              <w:numPr>
                <w:ilvl w:val="0"/>
                <w:numId w:val="10"/>
              </w:numPr>
              <w:rPr>
                <w:sz w:val="20"/>
                <w:szCs w:val="20"/>
              </w:rPr>
            </w:pPr>
            <w:r w:rsidRPr="006F7D7C">
              <w:rPr>
                <w:sz w:val="20"/>
                <w:szCs w:val="20"/>
              </w:rPr>
              <w:t>Buhalterinių operacijų žurnale</w:t>
            </w:r>
          </w:p>
          <w:p w:rsidR="006F7D7C" w:rsidRPr="006F7D7C" w:rsidRDefault="006F7D7C" w:rsidP="006F7D7C">
            <w:pPr>
              <w:pStyle w:val="ListParagraph"/>
              <w:numPr>
                <w:ilvl w:val="0"/>
                <w:numId w:val="10"/>
              </w:numPr>
              <w:rPr>
                <w:sz w:val="20"/>
                <w:szCs w:val="20"/>
              </w:rPr>
            </w:pPr>
            <w:r w:rsidRPr="006F7D7C">
              <w:rPr>
                <w:sz w:val="20"/>
                <w:szCs w:val="20"/>
              </w:rPr>
              <w:t>Pirkimuose</w:t>
            </w:r>
          </w:p>
          <w:p w:rsidR="006F7D7C" w:rsidRPr="006F7D7C" w:rsidRDefault="006F7D7C" w:rsidP="006F7D7C">
            <w:pPr>
              <w:pStyle w:val="ListParagraph"/>
              <w:numPr>
                <w:ilvl w:val="0"/>
                <w:numId w:val="10"/>
              </w:numPr>
              <w:rPr>
                <w:sz w:val="20"/>
                <w:szCs w:val="20"/>
              </w:rPr>
            </w:pPr>
            <w:r w:rsidRPr="006F7D7C">
              <w:rPr>
                <w:sz w:val="20"/>
                <w:szCs w:val="20"/>
              </w:rPr>
              <w:t>Pardavimuose</w:t>
            </w:r>
          </w:p>
          <w:p w:rsidR="006F7D7C" w:rsidRPr="006F7D7C" w:rsidRDefault="006F7D7C" w:rsidP="006F7D7C">
            <w:pPr>
              <w:pStyle w:val="ListParagraph"/>
              <w:numPr>
                <w:ilvl w:val="0"/>
                <w:numId w:val="10"/>
              </w:numPr>
              <w:rPr>
                <w:sz w:val="20"/>
                <w:szCs w:val="20"/>
              </w:rPr>
            </w:pPr>
            <w:r w:rsidRPr="006F7D7C">
              <w:rPr>
                <w:sz w:val="20"/>
                <w:szCs w:val="20"/>
              </w:rPr>
              <w:t>Atsiskaitymuose</w:t>
            </w:r>
          </w:p>
          <w:p w:rsidR="006F7D7C" w:rsidRPr="006F7D7C" w:rsidRDefault="006F7D7C" w:rsidP="006F7D7C">
            <w:pPr>
              <w:pStyle w:val="ListParagraph"/>
              <w:numPr>
                <w:ilvl w:val="0"/>
                <w:numId w:val="10"/>
              </w:numPr>
              <w:rPr>
                <w:sz w:val="20"/>
                <w:szCs w:val="20"/>
              </w:rPr>
            </w:pPr>
            <w:r w:rsidRPr="006F7D7C">
              <w:rPr>
                <w:sz w:val="20"/>
                <w:szCs w:val="20"/>
              </w:rPr>
              <w:t xml:space="preserve">Nurašymuose </w:t>
            </w:r>
          </w:p>
          <w:p w:rsidR="006F7D7C" w:rsidRPr="006F7D7C" w:rsidRDefault="006F7D7C" w:rsidP="006F7D7C">
            <w:pPr>
              <w:pStyle w:val="ListParagraph"/>
              <w:numPr>
                <w:ilvl w:val="0"/>
                <w:numId w:val="10"/>
              </w:numPr>
              <w:rPr>
                <w:sz w:val="20"/>
                <w:szCs w:val="20"/>
              </w:rPr>
            </w:pPr>
            <w:r w:rsidRPr="006F7D7C">
              <w:rPr>
                <w:sz w:val="20"/>
                <w:szCs w:val="20"/>
              </w:rPr>
              <w:t>Vid.važtaraščiuose</w:t>
            </w:r>
          </w:p>
          <w:p w:rsidR="006F7D7C" w:rsidRPr="006F7D7C" w:rsidRDefault="006F7D7C" w:rsidP="006F7D7C">
            <w:pPr>
              <w:pStyle w:val="ListParagraph"/>
              <w:numPr>
                <w:ilvl w:val="0"/>
                <w:numId w:val="10"/>
              </w:numPr>
              <w:rPr>
                <w:sz w:val="20"/>
                <w:szCs w:val="20"/>
              </w:rPr>
            </w:pPr>
            <w:r w:rsidRPr="006F7D7C">
              <w:rPr>
                <w:sz w:val="20"/>
                <w:szCs w:val="20"/>
              </w:rPr>
              <w:t>I</w:t>
            </w:r>
            <w:r w:rsidRPr="006F7D7C">
              <w:rPr>
                <w:sz w:val="20"/>
                <w:szCs w:val="20"/>
              </w:rPr>
              <w:t>T</w:t>
            </w:r>
            <w:r w:rsidRPr="006F7D7C">
              <w:rPr>
                <w:sz w:val="20"/>
                <w:szCs w:val="20"/>
              </w:rPr>
              <w:t xml:space="preserve"> apskaitos dokumentuose</w:t>
            </w:r>
          </w:p>
          <w:p w:rsidR="006F7D7C" w:rsidRPr="006F7D7C" w:rsidRDefault="006F7D7C" w:rsidP="006F7D7C">
            <w:pPr>
              <w:rPr>
                <w:sz w:val="20"/>
                <w:szCs w:val="20"/>
              </w:rPr>
            </w:pPr>
            <w:r w:rsidRPr="006F7D7C">
              <w:rPr>
                <w:sz w:val="20"/>
                <w:szCs w:val="20"/>
              </w:rPr>
              <w:t>Makrooperacijos meniu papildytas nauju punktu "Tikrinti sena &lt;&gt; nauja BO"</w:t>
            </w:r>
          </w:p>
          <w:p w:rsidR="00D07F6B" w:rsidRPr="00D07F6B" w:rsidRDefault="006F7D7C" w:rsidP="006F7D7C">
            <w:pPr>
              <w:rPr>
                <w:sz w:val="20"/>
                <w:szCs w:val="20"/>
              </w:rPr>
            </w:pPr>
            <w:r w:rsidRPr="006F7D7C">
              <w:rPr>
                <w:sz w:val="20"/>
                <w:szCs w:val="20"/>
              </w:rPr>
              <w:t>kuris leidžia tikrinti ekrane matomų dokumentų esamas BO su naujai sugeneruotinomis jei būtų peratliktas dokumentas.</w:t>
            </w:r>
            <w:r>
              <w:rPr>
                <w:sz w:val="20"/>
                <w:szCs w:val="20"/>
              </w:rPr>
              <w:t xml:space="preserve"> </w:t>
            </w:r>
          </w:p>
        </w:tc>
        <w:tc>
          <w:tcPr>
            <w:tcW w:w="1800" w:type="dxa"/>
            <w:vAlign w:val="center"/>
          </w:tcPr>
          <w:p w:rsidR="00D07F6B" w:rsidRDefault="00D07F6B" w:rsidP="000345CB">
            <w:pPr>
              <w:pStyle w:val="Header"/>
              <w:tabs>
                <w:tab w:val="clear" w:pos="4153"/>
                <w:tab w:val="clear" w:pos="8306"/>
              </w:tabs>
              <w:jc w:val="center"/>
              <w:rPr>
                <w:sz w:val="20"/>
                <w:szCs w:val="20"/>
              </w:rPr>
            </w:pPr>
          </w:p>
        </w:tc>
      </w:tr>
    </w:tbl>
    <w:p w:rsidR="00ED47E8" w:rsidRDefault="00ED47E8">
      <w:pPr>
        <w:pStyle w:val="Header"/>
        <w:tabs>
          <w:tab w:val="clear" w:pos="4153"/>
          <w:tab w:val="clear" w:pos="8306"/>
        </w:tabs>
        <w:spacing w:before="120"/>
      </w:pPr>
    </w:p>
    <w:p w:rsidR="004D40D1" w:rsidRPr="001E24B6" w:rsidRDefault="004D40D1">
      <w:pPr>
        <w:pStyle w:val="Header"/>
        <w:tabs>
          <w:tab w:val="clear" w:pos="4153"/>
          <w:tab w:val="clear" w:pos="8306"/>
        </w:tabs>
        <w:spacing w:before="120"/>
      </w:pPr>
      <w:r w:rsidRPr="001E24B6">
        <w:t>Pagarbiai,</w:t>
      </w:r>
    </w:p>
    <w:p w:rsidR="00CD0EF4" w:rsidRDefault="004D40D1">
      <w:pPr>
        <w:pStyle w:val="Header"/>
        <w:tabs>
          <w:tab w:val="clear" w:pos="4153"/>
          <w:tab w:val="clear" w:pos="8306"/>
        </w:tabs>
      </w:pPr>
      <w:r w:rsidRPr="001E24B6">
        <w:t xml:space="preserve">Direktorius Vytenis Dulskis </w:t>
      </w:r>
    </w:p>
    <w:sectPr w:rsidR="00CD0EF4" w:rsidSect="008B66F5">
      <w:headerReference w:type="default" r:id="rId8"/>
      <w:pgSz w:w="11906" w:h="16838" w:code="9"/>
      <w:pgMar w:top="284" w:right="1134" w:bottom="284" w:left="1418"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23F" w:rsidRDefault="007C223F">
      <w:r>
        <w:separator/>
      </w:r>
    </w:p>
  </w:endnote>
  <w:endnote w:type="continuationSeparator" w:id="0">
    <w:p w:rsidR="007C223F" w:rsidRDefault="007C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23F" w:rsidRDefault="007C223F">
      <w:r>
        <w:separator/>
      </w:r>
    </w:p>
  </w:footnote>
  <w:footnote w:type="continuationSeparator" w:id="0">
    <w:p w:rsidR="007C223F" w:rsidRDefault="007C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08" w:rsidRDefault="002D3446">
    <w:pPr>
      <w:pStyle w:val="Header"/>
    </w:pPr>
    <w:r>
      <w:rPr>
        <w:noProof/>
        <w:lang w:eastAsia="lt-LT"/>
      </w:rPr>
      <w:drawing>
        <wp:inline distT="0" distB="0" distL="0" distR="0" wp14:anchorId="07A9AA1E" wp14:editId="12EFE41E">
          <wp:extent cx="2317115" cy="40527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_Z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7115" cy="405277"/>
                  </a:xfrm>
                  <a:prstGeom prst="rect">
                    <a:avLst/>
                  </a:prstGeom>
                  <a:noFill/>
                  <a:ln>
                    <a:noFill/>
                  </a:ln>
                </pic:spPr>
              </pic:pic>
            </a:graphicData>
          </a:graphic>
        </wp:inline>
      </w:drawing>
    </w:r>
  </w:p>
  <w:p w:rsidR="00C35508" w:rsidRDefault="00C35508">
    <w:pPr>
      <w:pStyle w:val="Header"/>
      <w:pBdr>
        <w:top w:val="single" w:sz="4" w:space="1" w:color="auto"/>
      </w:pBdr>
      <w:spacing w:before="80"/>
      <w:rPr>
        <w:rFonts w:ascii="Arial" w:hAnsi="Arial" w:cs="Arial"/>
        <w:i/>
        <w:iCs/>
        <w:noProof/>
        <w:sz w:val="16"/>
      </w:rPr>
    </w:pPr>
    <w:r>
      <w:rPr>
        <w:rFonts w:ascii="Arial" w:hAnsi="Arial" w:cs="Arial"/>
        <w:i/>
        <w:iCs/>
        <w:noProof/>
        <w:sz w:val="16"/>
      </w:rPr>
      <w:t xml:space="preserve">UAB “Insolita”, įmonės kodas 125033621. </w:t>
    </w:r>
    <w:r w:rsidR="00C9774B">
      <w:rPr>
        <w:rFonts w:ascii="Arial" w:hAnsi="Arial" w:cs="Arial"/>
        <w:i/>
        <w:iCs/>
        <w:noProof/>
        <w:sz w:val="16"/>
      </w:rPr>
      <w:t>Birbynių 4-8</w:t>
    </w:r>
    <w:r>
      <w:rPr>
        <w:rFonts w:ascii="Arial" w:hAnsi="Arial" w:cs="Arial"/>
        <w:i/>
        <w:iCs/>
        <w:noProof/>
        <w:sz w:val="16"/>
      </w:rPr>
      <w:t>,</w:t>
    </w:r>
    <w:r w:rsidR="00C9774B" w:rsidRPr="00C9774B">
      <w:t xml:space="preserve"> </w:t>
    </w:r>
    <w:r w:rsidR="00C9774B" w:rsidRPr="00C9774B">
      <w:rPr>
        <w:rFonts w:ascii="Arial" w:hAnsi="Arial" w:cs="Arial"/>
        <w:i/>
        <w:iCs/>
        <w:noProof/>
        <w:sz w:val="16"/>
      </w:rPr>
      <w:t>02121</w:t>
    </w:r>
    <w:r>
      <w:rPr>
        <w:rFonts w:ascii="Arial" w:hAnsi="Arial" w:cs="Arial"/>
        <w:i/>
        <w:iCs/>
        <w:noProof/>
        <w:sz w:val="16"/>
      </w:rPr>
      <w:t xml:space="preserve">, Vilnius. Telefonas </w:t>
    </w:r>
    <w:r w:rsidR="00D97003">
      <w:rPr>
        <w:rFonts w:ascii="Arial" w:hAnsi="Arial" w:cs="Arial"/>
        <w:i/>
        <w:iCs/>
        <w:noProof/>
        <w:sz w:val="16"/>
      </w:rPr>
      <w:t>+370 686 37652</w:t>
    </w:r>
    <w:r>
      <w:rPr>
        <w:rFonts w:ascii="Arial" w:hAnsi="Arial" w:cs="Arial"/>
        <w:i/>
        <w:iCs/>
        <w:noProof/>
        <w:sz w:val="16"/>
      </w:rPr>
      <w:t>, e-mail: info</w:t>
    </w:r>
    <w:r>
      <w:rPr>
        <w:rFonts w:ascii="Arial" w:hAnsi="Arial" w:cs="Arial"/>
        <w:i/>
        <w:iCs/>
        <w:noProof/>
        <w:sz w:val="16"/>
        <w:lang w:val="de-DE"/>
      </w:rPr>
      <w:t>@</w:t>
    </w:r>
    <w:r>
      <w:rPr>
        <w:rFonts w:ascii="Arial" w:hAnsi="Arial" w:cs="Arial"/>
        <w:i/>
        <w:iCs/>
        <w:noProof/>
        <w:sz w:val="16"/>
      </w:rPr>
      <w:t>insolita.lt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187"/>
    <w:multiLevelType w:val="hybridMultilevel"/>
    <w:tmpl w:val="683AF9FC"/>
    <w:lvl w:ilvl="0" w:tplc="5884322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F64382"/>
    <w:multiLevelType w:val="hybridMultilevel"/>
    <w:tmpl w:val="4EF458F8"/>
    <w:lvl w:ilvl="0" w:tplc="5884322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CB79C9"/>
    <w:multiLevelType w:val="hybridMultilevel"/>
    <w:tmpl w:val="AFDCF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764B46"/>
    <w:multiLevelType w:val="hybridMultilevel"/>
    <w:tmpl w:val="D24E7380"/>
    <w:lvl w:ilvl="0" w:tplc="5884322C">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771525"/>
    <w:multiLevelType w:val="hybridMultilevel"/>
    <w:tmpl w:val="9C584E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40852D2"/>
    <w:multiLevelType w:val="hybridMultilevel"/>
    <w:tmpl w:val="65C22E10"/>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C2788"/>
    <w:multiLevelType w:val="hybridMultilevel"/>
    <w:tmpl w:val="56BE22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336BDE"/>
    <w:multiLevelType w:val="hybridMultilevel"/>
    <w:tmpl w:val="EBCC79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5D3D2A02"/>
    <w:multiLevelType w:val="hybridMultilevel"/>
    <w:tmpl w:val="D64A8622"/>
    <w:lvl w:ilvl="0" w:tplc="0409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A32EA9"/>
    <w:multiLevelType w:val="hybridMultilevel"/>
    <w:tmpl w:val="9CFE3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9"/>
  </w:num>
  <w:num w:numId="6">
    <w:abstractNumId w:val="6"/>
  </w:num>
  <w:num w:numId="7">
    <w:abstractNumId w:val="7"/>
  </w:num>
  <w:num w:numId="8">
    <w:abstractNumId w:val="3"/>
  </w:num>
  <w:num w:numId="9">
    <w:abstractNumId w:val="0"/>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58F"/>
    <w:rsid w:val="000077EB"/>
    <w:rsid w:val="00022D18"/>
    <w:rsid w:val="00027BDD"/>
    <w:rsid w:val="000345CB"/>
    <w:rsid w:val="00035418"/>
    <w:rsid w:val="00040EAC"/>
    <w:rsid w:val="00045A2B"/>
    <w:rsid w:val="000476DC"/>
    <w:rsid w:val="000527EE"/>
    <w:rsid w:val="00060643"/>
    <w:rsid w:val="00061C95"/>
    <w:rsid w:val="0006588B"/>
    <w:rsid w:val="00067D59"/>
    <w:rsid w:val="00070B78"/>
    <w:rsid w:val="000712C4"/>
    <w:rsid w:val="0007249C"/>
    <w:rsid w:val="00075BA6"/>
    <w:rsid w:val="00076993"/>
    <w:rsid w:val="000835BF"/>
    <w:rsid w:val="000907CF"/>
    <w:rsid w:val="00090DEF"/>
    <w:rsid w:val="00091E0E"/>
    <w:rsid w:val="00097604"/>
    <w:rsid w:val="000A60CE"/>
    <w:rsid w:val="000B6498"/>
    <w:rsid w:val="000C04FD"/>
    <w:rsid w:val="000C773F"/>
    <w:rsid w:val="000D65DC"/>
    <w:rsid w:val="000D7E8B"/>
    <w:rsid w:val="000F0BFA"/>
    <w:rsid w:val="000F2A47"/>
    <w:rsid w:val="00105895"/>
    <w:rsid w:val="00105EEF"/>
    <w:rsid w:val="00114028"/>
    <w:rsid w:val="00114408"/>
    <w:rsid w:val="00117FBA"/>
    <w:rsid w:val="00120938"/>
    <w:rsid w:val="00121B1F"/>
    <w:rsid w:val="00123B4A"/>
    <w:rsid w:val="00125663"/>
    <w:rsid w:val="00142BD3"/>
    <w:rsid w:val="0014460A"/>
    <w:rsid w:val="00144A7C"/>
    <w:rsid w:val="00156BBA"/>
    <w:rsid w:val="001665C1"/>
    <w:rsid w:val="00167472"/>
    <w:rsid w:val="00173203"/>
    <w:rsid w:val="0017558F"/>
    <w:rsid w:val="00187F9D"/>
    <w:rsid w:val="00190F06"/>
    <w:rsid w:val="0019550C"/>
    <w:rsid w:val="001A107C"/>
    <w:rsid w:val="001A3B83"/>
    <w:rsid w:val="001A454C"/>
    <w:rsid w:val="001A5A88"/>
    <w:rsid w:val="001A7970"/>
    <w:rsid w:val="001B3B39"/>
    <w:rsid w:val="001B5C13"/>
    <w:rsid w:val="001B6EBB"/>
    <w:rsid w:val="001C0AEF"/>
    <w:rsid w:val="001C2864"/>
    <w:rsid w:val="001C6936"/>
    <w:rsid w:val="001C786A"/>
    <w:rsid w:val="001D2DC7"/>
    <w:rsid w:val="001D41A3"/>
    <w:rsid w:val="001D5E72"/>
    <w:rsid w:val="001D7659"/>
    <w:rsid w:val="001E1A9F"/>
    <w:rsid w:val="001E24B6"/>
    <w:rsid w:val="001F4CE4"/>
    <w:rsid w:val="001F50D4"/>
    <w:rsid w:val="0020094D"/>
    <w:rsid w:val="00201152"/>
    <w:rsid w:val="00201C89"/>
    <w:rsid w:val="00207877"/>
    <w:rsid w:val="002107FF"/>
    <w:rsid w:val="00210E95"/>
    <w:rsid w:val="0021164C"/>
    <w:rsid w:val="002134B0"/>
    <w:rsid w:val="00215AFC"/>
    <w:rsid w:val="00221331"/>
    <w:rsid w:val="0022393B"/>
    <w:rsid w:val="002275E6"/>
    <w:rsid w:val="00227A98"/>
    <w:rsid w:val="00234D2C"/>
    <w:rsid w:val="00235CD0"/>
    <w:rsid w:val="00247214"/>
    <w:rsid w:val="002475D2"/>
    <w:rsid w:val="002515BC"/>
    <w:rsid w:val="002520A9"/>
    <w:rsid w:val="00252E74"/>
    <w:rsid w:val="002549C4"/>
    <w:rsid w:val="00254D76"/>
    <w:rsid w:val="002562EF"/>
    <w:rsid w:val="00256EE7"/>
    <w:rsid w:val="00256F3A"/>
    <w:rsid w:val="0025732E"/>
    <w:rsid w:val="00257D4F"/>
    <w:rsid w:val="00270DB6"/>
    <w:rsid w:val="0027229B"/>
    <w:rsid w:val="0027703A"/>
    <w:rsid w:val="0029516E"/>
    <w:rsid w:val="002971C2"/>
    <w:rsid w:val="002975DF"/>
    <w:rsid w:val="002B0364"/>
    <w:rsid w:val="002B06B4"/>
    <w:rsid w:val="002B0C4B"/>
    <w:rsid w:val="002B2196"/>
    <w:rsid w:val="002B2828"/>
    <w:rsid w:val="002C6060"/>
    <w:rsid w:val="002D0F9C"/>
    <w:rsid w:val="002D2FF8"/>
    <w:rsid w:val="002D3446"/>
    <w:rsid w:val="002D64CA"/>
    <w:rsid w:val="002E0E9D"/>
    <w:rsid w:val="002F1902"/>
    <w:rsid w:val="002F3040"/>
    <w:rsid w:val="002F41CE"/>
    <w:rsid w:val="002F7021"/>
    <w:rsid w:val="002F7871"/>
    <w:rsid w:val="0030484B"/>
    <w:rsid w:val="00304DA1"/>
    <w:rsid w:val="003051C5"/>
    <w:rsid w:val="00313678"/>
    <w:rsid w:val="003137C3"/>
    <w:rsid w:val="00320D54"/>
    <w:rsid w:val="00322027"/>
    <w:rsid w:val="003220D3"/>
    <w:rsid w:val="00322280"/>
    <w:rsid w:val="00322F21"/>
    <w:rsid w:val="00323CBE"/>
    <w:rsid w:val="00330D69"/>
    <w:rsid w:val="003407F5"/>
    <w:rsid w:val="00342452"/>
    <w:rsid w:val="0035178F"/>
    <w:rsid w:val="0035659E"/>
    <w:rsid w:val="003570DA"/>
    <w:rsid w:val="003635D8"/>
    <w:rsid w:val="00364CD3"/>
    <w:rsid w:val="0036751A"/>
    <w:rsid w:val="00371119"/>
    <w:rsid w:val="00371FA5"/>
    <w:rsid w:val="00384DE8"/>
    <w:rsid w:val="00392A34"/>
    <w:rsid w:val="00393E49"/>
    <w:rsid w:val="003965DF"/>
    <w:rsid w:val="003A479F"/>
    <w:rsid w:val="003B3943"/>
    <w:rsid w:val="003B4F19"/>
    <w:rsid w:val="003B4FB2"/>
    <w:rsid w:val="003E0CAD"/>
    <w:rsid w:val="003E0F26"/>
    <w:rsid w:val="003E483B"/>
    <w:rsid w:val="003E52A9"/>
    <w:rsid w:val="003E581F"/>
    <w:rsid w:val="003E7E8A"/>
    <w:rsid w:val="0040196B"/>
    <w:rsid w:val="00410870"/>
    <w:rsid w:val="004122F7"/>
    <w:rsid w:val="0041294B"/>
    <w:rsid w:val="0042307E"/>
    <w:rsid w:val="00426C6A"/>
    <w:rsid w:val="00434BD5"/>
    <w:rsid w:val="00435A41"/>
    <w:rsid w:val="00436494"/>
    <w:rsid w:val="00454106"/>
    <w:rsid w:val="004632E2"/>
    <w:rsid w:val="00464779"/>
    <w:rsid w:val="00467549"/>
    <w:rsid w:val="0046762C"/>
    <w:rsid w:val="00467E0B"/>
    <w:rsid w:val="00480A05"/>
    <w:rsid w:val="004814ED"/>
    <w:rsid w:val="00491C55"/>
    <w:rsid w:val="004A22D4"/>
    <w:rsid w:val="004C32E5"/>
    <w:rsid w:val="004D0699"/>
    <w:rsid w:val="004D40D1"/>
    <w:rsid w:val="004E557C"/>
    <w:rsid w:val="004F278E"/>
    <w:rsid w:val="004F54C5"/>
    <w:rsid w:val="00500EE5"/>
    <w:rsid w:val="00504068"/>
    <w:rsid w:val="00505CA4"/>
    <w:rsid w:val="00510452"/>
    <w:rsid w:val="00510CD9"/>
    <w:rsid w:val="005135A7"/>
    <w:rsid w:val="0052699B"/>
    <w:rsid w:val="00530251"/>
    <w:rsid w:val="005312A4"/>
    <w:rsid w:val="00534F30"/>
    <w:rsid w:val="005367F1"/>
    <w:rsid w:val="00543566"/>
    <w:rsid w:val="0054647F"/>
    <w:rsid w:val="00546822"/>
    <w:rsid w:val="005535F6"/>
    <w:rsid w:val="00554B20"/>
    <w:rsid w:val="00556B3E"/>
    <w:rsid w:val="00562910"/>
    <w:rsid w:val="005656FB"/>
    <w:rsid w:val="005659E2"/>
    <w:rsid w:val="005831DB"/>
    <w:rsid w:val="005832C5"/>
    <w:rsid w:val="00590281"/>
    <w:rsid w:val="0059234F"/>
    <w:rsid w:val="005933DF"/>
    <w:rsid w:val="00594B1A"/>
    <w:rsid w:val="005A40EA"/>
    <w:rsid w:val="005C3EF4"/>
    <w:rsid w:val="005C43B1"/>
    <w:rsid w:val="005C68F4"/>
    <w:rsid w:val="005C7F0B"/>
    <w:rsid w:val="005D0B13"/>
    <w:rsid w:val="005E46DD"/>
    <w:rsid w:val="005E4EF5"/>
    <w:rsid w:val="005E5DEA"/>
    <w:rsid w:val="005F3BF5"/>
    <w:rsid w:val="005F6E8D"/>
    <w:rsid w:val="00612150"/>
    <w:rsid w:val="006230CA"/>
    <w:rsid w:val="0063471D"/>
    <w:rsid w:val="00636122"/>
    <w:rsid w:val="00637412"/>
    <w:rsid w:val="006425F8"/>
    <w:rsid w:val="00650199"/>
    <w:rsid w:val="00650518"/>
    <w:rsid w:val="00650D12"/>
    <w:rsid w:val="00667482"/>
    <w:rsid w:val="00667F0E"/>
    <w:rsid w:val="006A7133"/>
    <w:rsid w:val="006C0866"/>
    <w:rsid w:val="006C3386"/>
    <w:rsid w:val="006D01F0"/>
    <w:rsid w:val="006D057D"/>
    <w:rsid w:val="006D6D2A"/>
    <w:rsid w:val="006D714D"/>
    <w:rsid w:val="006E182D"/>
    <w:rsid w:val="006E74D3"/>
    <w:rsid w:val="006E7AB8"/>
    <w:rsid w:val="006F0BCB"/>
    <w:rsid w:val="006F3957"/>
    <w:rsid w:val="006F404F"/>
    <w:rsid w:val="006F5647"/>
    <w:rsid w:val="006F6E34"/>
    <w:rsid w:val="006F7D7C"/>
    <w:rsid w:val="007005BA"/>
    <w:rsid w:val="00706558"/>
    <w:rsid w:val="00710F66"/>
    <w:rsid w:val="00713AD3"/>
    <w:rsid w:val="007171AD"/>
    <w:rsid w:val="0072390B"/>
    <w:rsid w:val="00726EFC"/>
    <w:rsid w:val="00732D1B"/>
    <w:rsid w:val="00732D7D"/>
    <w:rsid w:val="00734EE0"/>
    <w:rsid w:val="00745FC0"/>
    <w:rsid w:val="007536AC"/>
    <w:rsid w:val="0075757C"/>
    <w:rsid w:val="007620AA"/>
    <w:rsid w:val="007621C7"/>
    <w:rsid w:val="007633B1"/>
    <w:rsid w:val="00764BF9"/>
    <w:rsid w:val="007653C6"/>
    <w:rsid w:val="0077296A"/>
    <w:rsid w:val="00785F16"/>
    <w:rsid w:val="007905E6"/>
    <w:rsid w:val="007916C9"/>
    <w:rsid w:val="007A3838"/>
    <w:rsid w:val="007B5879"/>
    <w:rsid w:val="007C1532"/>
    <w:rsid w:val="007C17AC"/>
    <w:rsid w:val="007C223F"/>
    <w:rsid w:val="007C35BD"/>
    <w:rsid w:val="007D1D5E"/>
    <w:rsid w:val="007D466E"/>
    <w:rsid w:val="007D4F91"/>
    <w:rsid w:val="007F27A1"/>
    <w:rsid w:val="007F6F91"/>
    <w:rsid w:val="00800B9D"/>
    <w:rsid w:val="008048B5"/>
    <w:rsid w:val="00805096"/>
    <w:rsid w:val="00805CF6"/>
    <w:rsid w:val="008069EF"/>
    <w:rsid w:val="008220A6"/>
    <w:rsid w:val="008223EB"/>
    <w:rsid w:val="00827E01"/>
    <w:rsid w:val="00832892"/>
    <w:rsid w:val="00841544"/>
    <w:rsid w:val="00846D3F"/>
    <w:rsid w:val="008548E1"/>
    <w:rsid w:val="0087015D"/>
    <w:rsid w:val="0087226F"/>
    <w:rsid w:val="00873416"/>
    <w:rsid w:val="008804C1"/>
    <w:rsid w:val="00883F2C"/>
    <w:rsid w:val="008879CE"/>
    <w:rsid w:val="008903FC"/>
    <w:rsid w:val="008B5019"/>
    <w:rsid w:val="008B59A3"/>
    <w:rsid w:val="008B66F5"/>
    <w:rsid w:val="008C2FCB"/>
    <w:rsid w:val="008C4FF2"/>
    <w:rsid w:val="008C6B76"/>
    <w:rsid w:val="008D1640"/>
    <w:rsid w:val="008D1ECD"/>
    <w:rsid w:val="008D425D"/>
    <w:rsid w:val="008D4A84"/>
    <w:rsid w:val="008D6088"/>
    <w:rsid w:val="008E4BD0"/>
    <w:rsid w:val="008E7423"/>
    <w:rsid w:val="008F0E6B"/>
    <w:rsid w:val="008F7B06"/>
    <w:rsid w:val="00905CE9"/>
    <w:rsid w:val="00907537"/>
    <w:rsid w:val="00917DEA"/>
    <w:rsid w:val="00917E05"/>
    <w:rsid w:val="00926158"/>
    <w:rsid w:val="00926179"/>
    <w:rsid w:val="00931044"/>
    <w:rsid w:val="00936904"/>
    <w:rsid w:val="0094016A"/>
    <w:rsid w:val="00946FE9"/>
    <w:rsid w:val="00950B76"/>
    <w:rsid w:val="00952791"/>
    <w:rsid w:val="00956AA4"/>
    <w:rsid w:val="00960F49"/>
    <w:rsid w:val="009613D2"/>
    <w:rsid w:val="0096328A"/>
    <w:rsid w:val="00964B67"/>
    <w:rsid w:val="009702F0"/>
    <w:rsid w:val="00980B0C"/>
    <w:rsid w:val="00985F13"/>
    <w:rsid w:val="00996A72"/>
    <w:rsid w:val="009973D4"/>
    <w:rsid w:val="009A3445"/>
    <w:rsid w:val="009A5C50"/>
    <w:rsid w:val="009B71DC"/>
    <w:rsid w:val="009C0BE5"/>
    <w:rsid w:val="009C2EB9"/>
    <w:rsid w:val="009C43F9"/>
    <w:rsid w:val="009C6FAB"/>
    <w:rsid w:val="009D39EF"/>
    <w:rsid w:val="009D6217"/>
    <w:rsid w:val="009E1963"/>
    <w:rsid w:val="009E2A8A"/>
    <w:rsid w:val="009E4EEF"/>
    <w:rsid w:val="009F7754"/>
    <w:rsid w:val="00A016FD"/>
    <w:rsid w:val="00A0195A"/>
    <w:rsid w:val="00A04E62"/>
    <w:rsid w:val="00A0791C"/>
    <w:rsid w:val="00A16F7E"/>
    <w:rsid w:val="00A2440A"/>
    <w:rsid w:val="00A25C92"/>
    <w:rsid w:val="00A3513A"/>
    <w:rsid w:val="00A445FC"/>
    <w:rsid w:val="00A44E03"/>
    <w:rsid w:val="00A47039"/>
    <w:rsid w:val="00A47FD3"/>
    <w:rsid w:val="00A50372"/>
    <w:rsid w:val="00A542D8"/>
    <w:rsid w:val="00A67130"/>
    <w:rsid w:val="00A85046"/>
    <w:rsid w:val="00A86285"/>
    <w:rsid w:val="00A87D78"/>
    <w:rsid w:val="00AA66F0"/>
    <w:rsid w:val="00AB03DC"/>
    <w:rsid w:val="00AB0CED"/>
    <w:rsid w:val="00AB245F"/>
    <w:rsid w:val="00AB2DCE"/>
    <w:rsid w:val="00AB5331"/>
    <w:rsid w:val="00AB721C"/>
    <w:rsid w:val="00AE2D44"/>
    <w:rsid w:val="00AE30E5"/>
    <w:rsid w:val="00AF0B49"/>
    <w:rsid w:val="00AF4443"/>
    <w:rsid w:val="00B02CC0"/>
    <w:rsid w:val="00B03036"/>
    <w:rsid w:val="00B0453A"/>
    <w:rsid w:val="00B16AD6"/>
    <w:rsid w:val="00B232BA"/>
    <w:rsid w:val="00B25712"/>
    <w:rsid w:val="00B33043"/>
    <w:rsid w:val="00B3537B"/>
    <w:rsid w:val="00B4711B"/>
    <w:rsid w:val="00B51255"/>
    <w:rsid w:val="00B51F83"/>
    <w:rsid w:val="00B545B4"/>
    <w:rsid w:val="00B55301"/>
    <w:rsid w:val="00B60308"/>
    <w:rsid w:val="00B606C0"/>
    <w:rsid w:val="00B61C8C"/>
    <w:rsid w:val="00B637D9"/>
    <w:rsid w:val="00B769CE"/>
    <w:rsid w:val="00B832D6"/>
    <w:rsid w:val="00B86340"/>
    <w:rsid w:val="00B8677A"/>
    <w:rsid w:val="00B9441C"/>
    <w:rsid w:val="00B9499F"/>
    <w:rsid w:val="00BA0D33"/>
    <w:rsid w:val="00BB675F"/>
    <w:rsid w:val="00BC1EC1"/>
    <w:rsid w:val="00BC4EBE"/>
    <w:rsid w:val="00BD599D"/>
    <w:rsid w:val="00BE3B9C"/>
    <w:rsid w:val="00BE3BD9"/>
    <w:rsid w:val="00BE43D8"/>
    <w:rsid w:val="00BE46B6"/>
    <w:rsid w:val="00BF0E29"/>
    <w:rsid w:val="00BF28A4"/>
    <w:rsid w:val="00BF2B7F"/>
    <w:rsid w:val="00BF5BEA"/>
    <w:rsid w:val="00BF5F75"/>
    <w:rsid w:val="00C21564"/>
    <w:rsid w:val="00C24C4E"/>
    <w:rsid w:val="00C35508"/>
    <w:rsid w:val="00C4071E"/>
    <w:rsid w:val="00C5213A"/>
    <w:rsid w:val="00C5798D"/>
    <w:rsid w:val="00C60E8A"/>
    <w:rsid w:val="00C66FD8"/>
    <w:rsid w:val="00C714F5"/>
    <w:rsid w:val="00C72FA6"/>
    <w:rsid w:val="00C7459B"/>
    <w:rsid w:val="00C83196"/>
    <w:rsid w:val="00C91277"/>
    <w:rsid w:val="00C915F5"/>
    <w:rsid w:val="00C9774B"/>
    <w:rsid w:val="00CA0915"/>
    <w:rsid w:val="00CA25B2"/>
    <w:rsid w:val="00CA43AE"/>
    <w:rsid w:val="00CB0E34"/>
    <w:rsid w:val="00CB511E"/>
    <w:rsid w:val="00CB7BDB"/>
    <w:rsid w:val="00CC470D"/>
    <w:rsid w:val="00CC4C1F"/>
    <w:rsid w:val="00CC60ED"/>
    <w:rsid w:val="00CD0EF4"/>
    <w:rsid w:val="00CD18BF"/>
    <w:rsid w:val="00CD3978"/>
    <w:rsid w:val="00CD6E10"/>
    <w:rsid w:val="00CE08AF"/>
    <w:rsid w:val="00CE15FC"/>
    <w:rsid w:val="00CE3707"/>
    <w:rsid w:val="00CE668E"/>
    <w:rsid w:val="00CF33B7"/>
    <w:rsid w:val="00CF47E5"/>
    <w:rsid w:val="00D00F47"/>
    <w:rsid w:val="00D01236"/>
    <w:rsid w:val="00D06423"/>
    <w:rsid w:val="00D07633"/>
    <w:rsid w:val="00D07F6B"/>
    <w:rsid w:val="00D12F49"/>
    <w:rsid w:val="00D13359"/>
    <w:rsid w:val="00D25202"/>
    <w:rsid w:val="00D309F1"/>
    <w:rsid w:val="00D32E2B"/>
    <w:rsid w:val="00D33CD8"/>
    <w:rsid w:val="00D34B4D"/>
    <w:rsid w:val="00D36DED"/>
    <w:rsid w:val="00D45C18"/>
    <w:rsid w:val="00D522F6"/>
    <w:rsid w:val="00D54CE3"/>
    <w:rsid w:val="00D6648D"/>
    <w:rsid w:val="00D7703B"/>
    <w:rsid w:val="00D926FA"/>
    <w:rsid w:val="00D97003"/>
    <w:rsid w:val="00DA754A"/>
    <w:rsid w:val="00DB35A4"/>
    <w:rsid w:val="00DB4E90"/>
    <w:rsid w:val="00DC62FE"/>
    <w:rsid w:val="00DD5422"/>
    <w:rsid w:val="00DE2602"/>
    <w:rsid w:val="00DE55E7"/>
    <w:rsid w:val="00DE6BC0"/>
    <w:rsid w:val="00DF4D4C"/>
    <w:rsid w:val="00DF6044"/>
    <w:rsid w:val="00DF64E0"/>
    <w:rsid w:val="00DF713C"/>
    <w:rsid w:val="00E01B32"/>
    <w:rsid w:val="00E06313"/>
    <w:rsid w:val="00E12602"/>
    <w:rsid w:val="00E1420E"/>
    <w:rsid w:val="00E14C0A"/>
    <w:rsid w:val="00E17443"/>
    <w:rsid w:val="00E21AEB"/>
    <w:rsid w:val="00E227E2"/>
    <w:rsid w:val="00E27993"/>
    <w:rsid w:val="00E32980"/>
    <w:rsid w:val="00E42C3A"/>
    <w:rsid w:val="00E4740B"/>
    <w:rsid w:val="00E56522"/>
    <w:rsid w:val="00E6654F"/>
    <w:rsid w:val="00E66AD8"/>
    <w:rsid w:val="00E7192C"/>
    <w:rsid w:val="00E71F21"/>
    <w:rsid w:val="00E7486B"/>
    <w:rsid w:val="00E75CB6"/>
    <w:rsid w:val="00E847D7"/>
    <w:rsid w:val="00E91EC1"/>
    <w:rsid w:val="00E9373C"/>
    <w:rsid w:val="00EA6A86"/>
    <w:rsid w:val="00EB424D"/>
    <w:rsid w:val="00EB6B36"/>
    <w:rsid w:val="00EC1AE2"/>
    <w:rsid w:val="00EC1DEE"/>
    <w:rsid w:val="00EC434F"/>
    <w:rsid w:val="00ED25E4"/>
    <w:rsid w:val="00ED47E8"/>
    <w:rsid w:val="00ED5BCD"/>
    <w:rsid w:val="00EE0E34"/>
    <w:rsid w:val="00EE4871"/>
    <w:rsid w:val="00EE61EC"/>
    <w:rsid w:val="00F00526"/>
    <w:rsid w:val="00F036B9"/>
    <w:rsid w:val="00F0596D"/>
    <w:rsid w:val="00F11747"/>
    <w:rsid w:val="00F356DA"/>
    <w:rsid w:val="00F37C03"/>
    <w:rsid w:val="00F402AB"/>
    <w:rsid w:val="00F41B54"/>
    <w:rsid w:val="00F46C87"/>
    <w:rsid w:val="00F566E9"/>
    <w:rsid w:val="00F626F3"/>
    <w:rsid w:val="00F76842"/>
    <w:rsid w:val="00F805AE"/>
    <w:rsid w:val="00F82207"/>
    <w:rsid w:val="00F92FC2"/>
    <w:rsid w:val="00FA5156"/>
    <w:rsid w:val="00FA530B"/>
    <w:rsid w:val="00FB0E1E"/>
    <w:rsid w:val="00FB335C"/>
    <w:rsid w:val="00FB3736"/>
    <w:rsid w:val="00FB69CD"/>
    <w:rsid w:val="00FB69F5"/>
    <w:rsid w:val="00FB7CCD"/>
    <w:rsid w:val="00FC4643"/>
    <w:rsid w:val="00FD23A1"/>
    <w:rsid w:val="00FD515F"/>
    <w:rsid w:val="00FE2C04"/>
    <w:rsid w:val="00FF169D"/>
    <w:rsid w:val="00FF180A"/>
    <w:rsid w:val="00FF6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C602089"/>
  <w15:docId w15:val="{72BD3E46-428A-42C3-98F0-0A5877A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483B"/>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 w:type="paragraph" w:styleId="ListParagraph">
    <w:name w:val="List Paragraph"/>
    <w:basedOn w:val="Normal"/>
    <w:uiPriority w:val="34"/>
    <w:qFormat/>
    <w:rsid w:val="00AB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304">
      <w:bodyDiv w:val="1"/>
      <w:marLeft w:val="0"/>
      <w:marRight w:val="0"/>
      <w:marTop w:val="0"/>
      <w:marBottom w:val="0"/>
      <w:divBdr>
        <w:top w:val="none" w:sz="0" w:space="0" w:color="auto"/>
        <w:left w:val="none" w:sz="0" w:space="0" w:color="auto"/>
        <w:bottom w:val="none" w:sz="0" w:space="0" w:color="auto"/>
        <w:right w:val="none" w:sz="0" w:space="0" w:color="auto"/>
      </w:divBdr>
    </w:div>
    <w:div w:id="159124832">
      <w:bodyDiv w:val="1"/>
      <w:marLeft w:val="0"/>
      <w:marRight w:val="0"/>
      <w:marTop w:val="0"/>
      <w:marBottom w:val="0"/>
      <w:divBdr>
        <w:top w:val="none" w:sz="0" w:space="0" w:color="auto"/>
        <w:left w:val="none" w:sz="0" w:space="0" w:color="auto"/>
        <w:bottom w:val="none" w:sz="0" w:space="0" w:color="auto"/>
        <w:right w:val="none" w:sz="0" w:space="0" w:color="auto"/>
      </w:divBdr>
    </w:div>
    <w:div w:id="165218164">
      <w:bodyDiv w:val="1"/>
      <w:marLeft w:val="0"/>
      <w:marRight w:val="0"/>
      <w:marTop w:val="0"/>
      <w:marBottom w:val="0"/>
      <w:divBdr>
        <w:top w:val="none" w:sz="0" w:space="0" w:color="auto"/>
        <w:left w:val="none" w:sz="0" w:space="0" w:color="auto"/>
        <w:bottom w:val="none" w:sz="0" w:space="0" w:color="auto"/>
        <w:right w:val="none" w:sz="0" w:space="0" w:color="auto"/>
      </w:divBdr>
    </w:div>
    <w:div w:id="243297098">
      <w:bodyDiv w:val="1"/>
      <w:marLeft w:val="0"/>
      <w:marRight w:val="0"/>
      <w:marTop w:val="0"/>
      <w:marBottom w:val="0"/>
      <w:divBdr>
        <w:top w:val="none" w:sz="0" w:space="0" w:color="auto"/>
        <w:left w:val="none" w:sz="0" w:space="0" w:color="auto"/>
        <w:bottom w:val="none" w:sz="0" w:space="0" w:color="auto"/>
        <w:right w:val="none" w:sz="0" w:space="0" w:color="auto"/>
      </w:divBdr>
    </w:div>
    <w:div w:id="244270782">
      <w:bodyDiv w:val="1"/>
      <w:marLeft w:val="0"/>
      <w:marRight w:val="0"/>
      <w:marTop w:val="0"/>
      <w:marBottom w:val="0"/>
      <w:divBdr>
        <w:top w:val="none" w:sz="0" w:space="0" w:color="auto"/>
        <w:left w:val="none" w:sz="0" w:space="0" w:color="auto"/>
        <w:bottom w:val="none" w:sz="0" w:space="0" w:color="auto"/>
        <w:right w:val="none" w:sz="0" w:space="0" w:color="auto"/>
      </w:divBdr>
    </w:div>
    <w:div w:id="335226724">
      <w:bodyDiv w:val="1"/>
      <w:marLeft w:val="0"/>
      <w:marRight w:val="0"/>
      <w:marTop w:val="0"/>
      <w:marBottom w:val="0"/>
      <w:divBdr>
        <w:top w:val="none" w:sz="0" w:space="0" w:color="auto"/>
        <w:left w:val="none" w:sz="0" w:space="0" w:color="auto"/>
        <w:bottom w:val="none" w:sz="0" w:space="0" w:color="auto"/>
        <w:right w:val="none" w:sz="0" w:space="0" w:color="auto"/>
      </w:divBdr>
    </w:div>
    <w:div w:id="358898457">
      <w:bodyDiv w:val="1"/>
      <w:marLeft w:val="0"/>
      <w:marRight w:val="0"/>
      <w:marTop w:val="0"/>
      <w:marBottom w:val="0"/>
      <w:divBdr>
        <w:top w:val="none" w:sz="0" w:space="0" w:color="auto"/>
        <w:left w:val="none" w:sz="0" w:space="0" w:color="auto"/>
        <w:bottom w:val="none" w:sz="0" w:space="0" w:color="auto"/>
        <w:right w:val="none" w:sz="0" w:space="0" w:color="auto"/>
      </w:divBdr>
    </w:div>
    <w:div w:id="433549671">
      <w:bodyDiv w:val="1"/>
      <w:marLeft w:val="0"/>
      <w:marRight w:val="0"/>
      <w:marTop w:val="0"/>
      <w:marBottom w:val="0"/>
      <w:divBdr>
        <w:top w:val="none" w:sz="0" w:space="0" w:color="auto"/>
        <w:left w:val="none" w:sz="0" w:space="0" w:color="auto"/>
        <w:bottom w:val="none" w:sz="0" w:space="0" w:color="auto"/>
        <w:right w:val="none" w:sz="0" w:space="0" w:color="auto"/>
      </w:divBdr>
    </w:div>
    <w:div w:id="458187778">
      <w:bodyDiv w:val="1"/>
      <w:marLeft w:val="0"/>
      <w:marRight w:val="0"/>
      <w:marTop w:val="0"/>
      <w:marBottom w:val="0"/>
      <w:divBdr>
        <w:top w:val="none" w:sz="0" w:space="0" w:color="auto"/>
        <w:left w:val="none" w:sz="0" w:space="0" w:color="auto"/>
        <w:bottom w:val="none" w:sz="0" w:space="0" w:color="auto"/>
        <w:right w:val="none" w:sz="0" w:space="0" w:color="auto"/>
      </w:divBdr>
    </w:div>
    <w:div w:id="463936912">
      <w:bodyDiv w:val="1"/>
      <w:marLeft w:val="0"/>
      <w:marRight w:val="0"/>
      <w:marTop w:val="0"/>
      <w:marBottom w:val="0"/>
      <w:divBdr>
        <w:top w:val="none" w:sz="0" w:space="0" w:color="auto"/>
        <w:left w:val="none" w:sz="0" w:space="0" w:color="auto"/>
        <w:bottom w:val="none" w:sz="0" w:space="0" w:color="auto"/>
        <w:right w:val="none" w:sz="0" w:space="0" w:color="auto"/>
      </w:divBdr>
    </w:div>
    <w:div w:id="559905000">
      <w:bodyDiv w:val="1"/>
      <w:marLeft w:val="0"/>
      <w:marRight w:val="0"/>
      <w:marTop w:val="0"/>
      <w:marBottom w:val="0"/>
      <w:divBdr>
        <w:top w:val="none" w:sz="0" w:space="0" w:color="auto"/>
        <w:left w:val="none" w:sz="0" w:space="0" w:color="auto"/>
        <w:bottom w:val="none" w:sz="0" w:space="0" w:color="auto"/>
        <w:right w:val="none" w:sz="0" w:space="0" w:color="auto"/>
      </w:divBdr>
    </w:div>
    <w:div w:id="561059618">
      <w:bodyDiv w:val="1"/>
      <w:marLeft w:val="0"/>
      <w:marRight w:val="0"/>
      <w:marTop w:val="0"/>
      <w:marBottom w:val="0"/>
      <w:divBdr>
        <w:top w:val="none" w:sz="0" w:space="0" w:color="auto"/>
        <w:left w:val="none" w:sz="0" w:space="0" w:color="auto"/>
        <w:bottom w:val="none" w:sz="0" w:space="0" w:color="auto"/>
        <w:right w:val="none" w:sz="0" w:space="0" w:color="auto"/>
      </w:divBdr>
    </w:div>
    <w:div w:id="565997748">
      <w:bodyDiv w:val="1"/>
      <w:marLeft w:val="0"/>
      <w:marRight w:val="0"/>
      <w:marTop w:val="0"/>
      <w:marBottom w:val="0"/>
      <w:divBdr>
        <w:top w:val="none" w:sz="0" w:space="0" w:color="auto"/>
        <w:left w:val="none" w:sz="0" w:space="0" w:color="auto"/>
        <w:bottom w:val="none" w:sz="0" w:space="0" w:color="auto"/>
        <w:right w:val="none" w:sz="0" w:space="0" w:color="auto"/>
      </w:divBdr>
    </w:div>
    <w:div w:id="586965767">
      <w:bodyDiv w:val="1"/>
      <w:marLeft w:val="0"/>
      <w:marRight w:val="0"/>
      <w:marTop w:val="0"/>
      <w:marBottom w:val="0"/>
      <w:divBdr>
        <w:top w:val="none" w:sz="0" w:space="0" w:color="auto"/>
        <w:left w:val="none" w:sz="0" w:space="0" w:color="auto"/>
        <w:bottom w:val="none" w:sz="0" w:space="0" w:color="auto"/>
        <w:right w:val="none" w:sz="0" w:space="0" w:color="auto"/>
      </w:divBdr>
    </w:div>
    <w:div w:id="646666484">
      <w:bodyDiv w:val="1"/>
      <w:marLeft w:val="0"/>
      <w:marRight w:val="0"/>
      <w:marTop w:val="0"/>
      <w:marBottom w:val="0"/>
      <w:divBdr>
        <w:top w:val="none" w:sz="0" w:space="0" w:color="auto"/>
        <w:left w:val="none" w:sz="0" w:space="0" w:color="auto"/>
        <w:bottom w:val="none" w:sz="0" w:space="0" w:color="auto"/>
        <w:right w:val="none" w:sz="0" w:space="0" w:color="auto"/>
      </w:divBdr>
    </w:div>
    <w:div w:id="708920507">
      <w:bodyDiv w:val="1"/>
      <w:marLeft w:val="0"/>
      <w:marRight w:val="0"/>
      <w:marTop w:val="0"/>
      <w:marBottom w:val="0"/>
      <w:divBdr>
        <w:top w:val="none" w:sz="0" w:space="0" w:color="auto"/>
        <w:left w:val="none" w:sz="0" w:space="0" w:color="auto"/>
        <w:bottom w:val="none" w:sz="0" w:space="0" w:color="auto"/>
        <w:right w:val="none" w:sz="0" w:space="0" w:color="auto"/>
      </w:divBdr>
    </w:div>
    <w:div w:id="770273728">
      <w:bodyDiv w:val="1"/>
      <w:marLeft w:val="0"/>
      <w:marRight w:val="0"/>
      <w:marTop w:val="0"/>
      <w:marBottom w:val="0"/>
      <w:divBdr>
        <w:top w:val="none" w:sz="0" w:space="0" w:color="auto"/>
        <w:left w:val="none" w:sz="0" w:space="0" w:color="auto"/>
        <w:bottom w:val="none" w:sz="0" w:space="0" w:color="auto"/>
        <w:right w:val="none" w:sz="0" w:space="0" w:color="auto"/>
      </w:divBdr>
    </w:div>
    <w:div w:id="815297320">
      <w:bodyDiv w:val="1"/>
      <w:marLeft w:val="0"/>
      <w:marRight w:val="0"/>
      <w:marTop w:val="0"/>
      <w:marBottom w:val="0"/>
      <w:divBdr>
        <w:top w:val="none" w:sz="0" w:space="0" w:color="auto"/>
        <w:left w:val="none" w:sz="0" w:space="0" w:color="auto"/>
        <w:bottom w:val="none" w:sz="0" w:space="0" w:color="auto"/>
        <w:right w:val="none" w:sz="0" w:space="0" w:color="auto"/>
      </w:divBdr>
    </w:div>
    <w:div w:id="823592976">
      <w:bodyDiv w:val="1"/>
      <w:marLeft w:val="0"/>
      <w:marRight w:val="0"/>
      <w:marTop w:val="0"/>
      <w:marBottom w:val="0"/>
      <w:divBdr>
        <w:top w:val="none" w:sz="0" w:space="0" w:color="auto"/>
        <w:left w:val="none" w:sz="0" w:space="0" w:color="auto"/>
        <w:bottom w:val="none" w:sz="0" w:space="0" w:color="auto"/>
        <w:right w:val="none" w:sz="0" w:space="0" w:color="auto"/>
      </w:divBdr>
    </w:div>
    <w:div w:id="857356401">
      <w:bodyDiv w:val="1"/>
      <w:marLeft w:val="0"/>
      <w:marRight w:val="0"/>
      <w:marTop w:val="0"/>
      <w:marBottom w:val="0"/>
      <w:divBdr>
        <w:top w:val="none" w:sz="0" w:space="0" w:color="auto"/>
        <w:left w:val="none" w:sz="0" w:space="0" w:color="auto"/>
        <w:bottom w:val="none" w:sz="0" w:space="0" w:color="auto"/>
        <w:right w:val="none" w:sz="0" w:space="0" w:color="auto"/>
      </w:divBdr>
    </w:div>
    <w:div w:id="982732497">
      <w:bodyDiv w:val="1"/>
      <w:marLeft w:val="0"/>
      <w:marRight w:val="0"/>
      <w:marTop w:val="0"/>
      <w:marBottom w:val="0"/>
      <w:divBdr>
        <w:top w:val="none" w:sz="0" w:space="0" w:color="auto"/>
        <w:left w:val="none" w:sz="0" w:space="0" w:color="auto"/>
        <w:bottom w:val="none" w:sz="0" w:space="0" w:color="auto"/>
        <w:right w:val="none" w:sz="0" w:space="0" w:color="auto"/>
      </w:divBdr>
    </w:div>
    <w:div w:id="989603503">
      <w:bodyDiv w:val="1"/>
      <w:marLeft w:val="0"/>
      <w:marRight w:val="0"/>
      <w:marTop w:val="0"/>
      <w:marBottom w:val="0"/>
      <w:divBdr>
        <w:top w:val="none" w:sz="0" w:space="0" w:color="auto"/>
        <w:left w:val="none" w:sz="0" w:space="0" w:color="auto"/>
        <w:bottom w:val="none" w:sz="0" w:space="0" w:color="auto"/>
        <w:right w:val="none" w:sz="0" w:space="0" w:color="auto"/>
      </w:divBdr>
    </w:div>
    <w:div w:id="1014458894">
      <w:bodyDiv w:val="1"/>
      <w:marLeft w:val="0"/>
      <w:marRight w:val="0"/>
      <w:marTop w:val="0"/>
      <w:marBottom w:val="0"/>
      <w:divBdr>
        <w:top w:val="none" w:sz="0" w:space="0" w:color="auto"/>
        <w:left w:val="none" w:sz="0" w:space="0" w:color="auto"/>
        <w:bottom w:val="none" w:sz="0" w:space="0" w:color="auto"/>
        <w:right w:val="none" w:sz="0" w:space="0" w:color="auto"/>
      </w:divBdr>
    </w:div>
    <w:div w:id="1086272530">
      <w:bodyDiv w:val="1"/>
      <w:marLeft w:val="0"/>
      <w:marRight w:val="0"/>
      <w:marTop w:val="0"/>
      <w:marBottom w:val="0"/>
      <w:divBdr>
        <w:top w:val="none" w:sz="0" w:space="0" w:color="auto"/>
        <w:left w:val="none" w:sz="0" w:space="0" w:color="auto"/>
        <w:bottom w:val="none" w:sz="0" w:space="0" w:color="auto"/>
        <w:right w:val="none" w:sz="0" w:space="0" w:color="auto"/>
      </w:divBdr>
    </w:div>
    <w:div w:id="1096973885">
      <w:bodyDiv w:val="1"/>
      <w:marLeft w:val="0"/>
      <w:marRight w:val="0"/>
      <w:marTop w:val="0"/>
      <w:marBottom w:val="0"/>
      <w:divBdr>
        <w:top w:val="none" w:sz="0" w:space="0" w:color="auto"/>
        <w:left w:val="none" w:sz="0" w:space="0" w:color="auto"/>
        <w:bottom w:val="none" w:sz="0" w:space="0" w:color="auto"/>
        <w:right w:val="none" w:sz="0" w:space="0" w:color="auto"/>
      </w:divBdr>
    </w:div>
    <w:div w:id="1213886290">
      <w:bodyDiv w:val="1"/>
      <w:marLeft w:val="0"/>
      <w:marRight w:val="0"/>
      <w:marTop w:val="0"/>
      <w:marBottom w:val="0"/>
      <w:divBdr>
        <w:top w:val="none" w:sz="0" w:space="0" w:color="auto"/>
        <w:left w:val="none" w:sz="0" w:space="0" w:color="auto"/>
        <w:bottom w:val="none" w:sz="0" w:space="0" w:color="auto"/>
        <w:right w:val="none" w:sz="0" w:space="0" w:color="auto"/>
      </w:divBdr>
    </w:div>
    <w:div w:id="1315569861">
      <w:bodyDiv w:val="1"/>
      <w:marLeft w:val="0"/>
      <w:marRight w:val="0"/>
      <w:marTop w:val="0"/>
      <w:marBottom w:val="0"/>
      <w:divBdr>
        <w:top w:val="none" w:sz="0" w:space="0" w:color="auto"/>
        <w:left w:val="none" w:sz="0" w:space="0" w:color="auto"/>
        <w:bottom w:val="none" w:sz="0" w:space="0" w:color="auto"/>
        <w:right w:val="none" w:sz="0" w:space="0" w:color="auto"/>
      </w:divBdr>
    </w:div>
    <w:div w:id="1414205858">
      <w:bodyDiv w:val="1"/>
      <w:marLeft w:val="0"/>
      <w:marRight w:val="0"/>
      <w:marTop w:val="0"/>
      <w:marBottom w:val="0"/>
      <w:divBdr>
        <w:top w:val="none" w:sz="0" w:space="0" w:color="auto"/>
        <w:left w:val="none" w:sz="0" w:space="0" w:color="auto"/>
        <w:bottom w:val="none" w:sz="0" w:space="0" w:color="auto"/>
        <w:right w:val="none" w:sz="0" w:space="0" w:color="auto"/>
      </w:divBdr>
    </w:div>
    <w:div w:id="1437628146">
      <w:bodyDiv w:val="1"/>
      <w:marLeft w:val="0"/>
      <w:marRight w:val="0"/>
      <w:marTop w:val="0"/>
      <w:marBottom w:val="0"/>
      <w:divBdr>
        <w:top w:val="none" w:sz="0" w:space="0" w:color="auto"/>
        <w:left w:val="none" w:sz="0" w:space="0" w:color="auto"/>
        <w:bottom w:val="none" w:sz="0" w:space="0" w:color="auto"/>
        <w:right w:val="none" w:sz="0" w:space="0" w:color="auto"/>
      </w:divBdr>
    </w:div>
    <w:div w:id="1446269755">
      <w:bodyDiv w:val="1"/>
      <w:marLeft w:val="0"/>
      <w:marRight w:val="0"/>
      <w:marTop w:val="0"/>
      <w:marBottom w:val="0"/>
      <w:divBdr>
        <w:top w:val="none" w:sz="0" w:space="0" w:color="auto"/>
        <w:left w:val="none" w:sz="0" w:space="0" w:color="auto"/>
        <w:bottom w:val="none" w:sz="0" w:space="0" w:color="auto"/>
        <w:right w:val="none" w:sz="0" w:space="0" w:color="auto"/>
      </w:divBdr>
    </w:div>
    <w:div w:id="1556307672">
      <w:bodyDiv w:val="1"/>
      <w:marLeft w:val="0"/>
      <w:marRight w:val="0"/>
      <w:marTop w:val="0"/>
      <w:marBottom w:val="0"/>
      <w:divBdr>
        <w:top w:val="none" w:sz="0" w:space="0" w:color="auto"/>
        <w:left w:val="none" w:sz="0" w:space="0" w:color="auto"/>
        <w:bottom w:val="none" w:sz="0" w:space="0" w:color="auto"/>
        <w:right w:val="none" w:sz="0" w:space="0" w:color="auto"/>
      </w:divBdr>
    </w:div>
    <w:div w:id="1682389184">
      <w:bodyDiv w:val="1"/>
      <w:marLeft w:val="0"/>
      <w:marRight w:val="0"/>
      <w:marTop w:val="0"/>
      <w:marBottom w:val="0"/>
      <w:divBdr>
        <w:top w:val="none" w:sz="0" w:space="0" w:color="auto"/>
        <w:left w:val="none" w:sz="0" w:space="0" w:color="auto"/>
        <w:bottom w:val="none" w:sz="0" w:space="0" w:color="auto"/>
        <w:right w:val="none" w:sz="0" w:space="0" w:color="auto"/>
      </w:divBdr>
    </w:div>
    <w:div w:id="1800147284">
      <w:bodyDiv w:val="1"/>
      <w:marLeft w:val="0"/>
      <w:marRight w:val="0"/>
      <w:marTop w:val="0"/>
      <w:marBottom w:val="0"/>
      <w:divBdr>
        <w:top w:val="none" w:sz="0" w:space="0" w:color="auto"/>
        <w:left w:val="none" w:sz="0" w:space="0" w:color="auto"/>
        <w:bottom w:val="none" w:sz="0" w:space="0" w:color="auto"/>
        <w:right w:val="none" w:sz="0" w:space="0" w:color="auto"/>
      </w:divBdr>
    </w:div>
    <w:div w:id="1827823829">
      <w:bodyDiv w:val="1"/>
      <w:marLeft w:val="0"/>
      <w:marRight w:val="0"/>
      <w:marTop w:val="0"/>
      <w:marBottom w:val="0"/>
      <w:divBdr>
        <w:top w:val="none" w:sz="0" w:space="0" w:color="auto"/>
        <w:left w:val="none" w:sz="0" w:space="0" w:color="auto"/>
        <w:bottom w:val="none" w:sz="0" w:space="0" w:color="auto"/>
        <w:right w:val="none" w:sz="0" w:space="0" w:color="auto"/>
      </w:divBdr>
    </w:div>
    <w:div w:id="1846940420">
      <w:bodyDiv w:val="1"/>
      <w:marLeft w:val="0"/>
      <w:marRight w:val="0"/>
      <w:marTop w:val="0"/>
      <w:marBottom w:val="0"/>
      <w:divBdr>
        <w:top w:val="none" w:sz="0" w:space="0" w:color="auto"/>
        <w:left w:val="none" w:sz="0" w:space="0" w:color="auto"/>
        <w:bottom w:val="none" w:sz="0" w:space="0" w:color="auto"/>
        <w:right w:val="none" w:sz="0" w:space="0" w:color="auto"/>
      </w:divBdr>
    </w:div>
    <w:div w:id="1860967250">
      <w:bodyDiv w:val="1"/>
      <w:marLeft w:val="0"/>
      <w:marRight w:val="0"/>
      <w:marTop w:val="0"/>
      <w:marBottom w:val="0"/>
      <w:divBdr>
        <w:top w:val="none" w:sz="0" w:space="0" w:color="auto"/>
        <w:left w:val="none" w:sz="0" w:space="0" w:color="auto"/>
        <w:bottom w:val="none" w:sz="0" w:space="0" w:color="auto"/>
        <w:right w:val="none" w:sz="0" w:space="0" w:color="auto"/>
      </w:divBdr>
    </w:div>
    <w:div w:id="1902279155">
      <w:bodyDiv w:val="1"/>
      <w:marLeft w:val="0"/>
      <w:marRight w:val="0"/>
      <w:marTop w:val="0"/>
      <w:marBottom w:val="0"/>
      <w:divBdr>
        <w:top w:val="none" w:sz="0" w:space="0" w:color="auto"/>
        <w:left w:val="none" w:sz="0" w:space="0" w:color="auto"/>
        <w:bottom w:val="none" w:sz="0" w:space="0" w:color="auto"/>
        <w:right w:val="none" w:sz="0" w:space="0" w:color="auto"/>
      </w:divBdr>
    </w:div>
    <w:div w:id="2014456343">
      <w:bodyDiv w:val="1"/>
      <w:marLeft w:val="0"/>
      <w:marRight w:val="0"/>
      <w:marTop w:val="0"/>
      <w:marBottom w:val="0"/>
      <w:divBdr>
        <w:top w:val="none" w:sz="0" w:space="0" w:color="auto"/>
        <w:left w:val="none" w:sz="0" w:space="0" w:color="auto"/>
        <w:bottom w:val="none" w:sz="0" w:space="0" w:color="auto"/>
        <w:right w:val="none" w:sz="0" w:space="0" w:color="auto"/>
      </w:divBdr>
    </w:div>
    <w:div w:id="2027322625">
      <w:bodyDiv w:val="1"/>
      <w:marLeft w:val="0"/>
      <w:marRight w:val="0"/>
      <w:marTop w:val="0"/>
      <w:marBottom w:val="0"/>
      <w:divBdr>
        <w:top w:val="none" w:sz="0" w:space="0" w:color="auto"/>
        <w:left w:val="none" w:sz="0" w:space="0" w:color="auto"/>
        <w:bottom w:val="none" w:sz="0" w:space="0" w:color="auto"/>
        <w:right w:val="none" w:sz="0" w:space="0" w:color="auto"/>
      </w:divBdr>
    </w:div>
    <w:div w:id="2042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nsol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4F3A7-A2EA-4988-9A7A-49922C98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insolita.dot</Template>
  <TotalTime>1067</TotalTime>
  <Pages>2</Pages>
  <Words>2654</Words>
  <Characters>1513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2002</vt:lpstr>
    </vt:vector>
  </TitlesOfParts>
  <Company>UAB "Insolita"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Vytenis Dulskis</dc:creator>
  <cp:lastModifiedBy>Vytenis Dulskis</cp:lastModifiedBy>
  <cp:revision>88</cp:revision>
  <cp:lastPrinted>2008-06-05T16:14:00Z</cp:lastPrinted>
  <dcterms:created xsi:type="dcterms:W3CDTF">2015-03-02T14:06:00Z</dcterms:created>
  <dcterms:modified xsi:type="dcterms:W3CDTF">2019-09-30T07:45:00Z</dcterms:modified>
</cp:coreProperties>
</file>